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41" w:rsidRDefault="00B87C49" w:rsidP="008C3698">
      <w:pPr>
        <w:spacing w:after="0" w:line="480" w:lineRule="auto"/>
        <w:jc w:val="both"/>
        <w:rPr>
          <w:rFonts w:ascii="Gill Sans MT" w:hAnsi="Gill Sans MT"/>
          <w:sz w:val="24"/>
          <w:szCs w:val="24"/>
        </w:rPr>
      </w:pPr>
      <w:bookmarkStart w:id="0" w:name="_GoBack"/>
      <w:bookmarkEnd w:id="0"/>
      <w:r>
        <w:rPr>
          <w:rFonts w:ascii="Gill Sans MT" w:hAnsi="Gill Sans MT"/>
          <w:sz w:val="24"/>
          <w:szCs w:val="24"/>
        </w:rPr>
        <w:tab/>
        <w:t xml:space="preserve">The purpose of this article is to discuss the major components of Response to Intervention, or RTI, namely </w:t>
      </w:r>
      <w:r w:rsidR="0062106F">
        <w:rPr>
          <w:rFonts w:ascii="Gill Sans MT" w:hAnsi="Gill Sans MT"/>
          <w:sz w:val="24"/>
          <w:szCs w:val="24"/>
        </w:rPr>
        <w:t>(</w:t>
      </w:r>
      <w:r w:rsidR="00BC256E">
        <w:rPr>
          <w:rFonts w:ascii="Gill Sans MT" w:hAnsi="Gill Sans MT"/>
          <w:sz w:val="24"/>
          <w:szCs w:val="24"/>
        </w:rPr>
        <w:t>I</w:t>
      </w:r>
      <w:r w:rsidR="0062106F">
        <w:rPr>
          <w:rFonts w:ascii="Gill Sans MT" w:hAnsi="Gill Sans MT"/>
          <w:sz w:val="24"/>
          <w:szCs w:val="24"/>
        </w:rPr>
        <w:t xml:space="preserve">) </w:t>
      </w:r>
      <w:r>
        <w:rPr>
          <w:rFonts w:ascii="Gill Sans MT" w:hAnsi="Gill Sans MT"/>
          <w:sz w:val="24"/>
          <w:szCs w:val="24"/>
        </w:rPr>
        <w:t xml:space="preserve">universal screening, </w:t>
      </w:r>
      <w:r w:rsidR="0062106F">
        <w:rPr>
          <w:rFonts w:ascii="Gill Sans MT" w:hAnsi="Gill Sans MT"/>
          <w:sz w:val="24"/>
          <w:szCs w:val="24"/>
        </w:rPr>
        <w:t>(</w:t>
      </w:r>
      <w:r w:rsidR="00BC256E">
        <w:rPr>
          <w:rFonts w:ascii="Gill Sans MT" w:hAnsi="Gill Sans MT"/>
          <w:sz w:val="24"/>
          <w:szCs w:val="24"/>
        </w:rPr>
        <w:t>II</w:t>
      </w:r>
      <w:r w:rsidR="0062106F">
        <w:rPr>
          <w:rFonts w:ascii="Gill Sans MT" w:hAnsi="Gill Sans MT"/>
          <w:sz w:val="24"/>
          <w:szCs w:val="24"/>
        </w:rPr>
        <w:t xml:space="preserve">) a </w:t>
      </w:r>
      <w:r>
        <w:rPr>
          <w:rFonts w:ascii="Gill Sans MT" w:hAnsi="Gill Sans MT"/>
          <w:sz w:val="24"/>
          <w:szCs w:val="24"/>
        </w:rPr>
        <w:t xml:space="preserve">tiered organization of supports and services, </w:t>
      </w:r>
      <w:r w:rsidR="0062106F">
        <w:rPr>
          <w:rFonts w:ascii="Gill Sans MT" w:hAnsi="Gill Sans MT"/>
          <w:sz w:val="24"/>
          <w:szCs w:val="24"/>
        </w:rPr>
        <w:t>(</w:t>
      </w:r>
      <w:r w:rsidR="00BC256E">
        <w:rPr>
          <w:rFonts w:ascii="Gill Sans MT" w:hAnsi="Gill Sans MT"/>
          <w:sz w:val="24"/>
          <w:szCs w:val="24"/>
        </w:rPr>
        <w:t>III</w:t>
      </w:r>
      <w:r w:rsidR="0062106F">
        <w:rPr>
          <w:rFonts w:ascii="Gill Sans MT" w:hAnsi="Gill Sans MT"/>
          <w:sz w:val="24"/>
          <w:szCs w:val="24"/>
        </w:rPr>
        <w:t xml:space="preserve">) </w:t>
      </w:r>
      <w:r>
        <w:rPr>
          <w:rFonts w:ascii="Gill Sans MT" w:hAnsi="Gill Sans MT"/>
          <w:sz w:val="24"/>
          <w:szCs w:val="24"/>
        </w:rPr>
        <w:t xml:space="preserve">progress monitoring, and </w:t>
      </w:r>
      <w:r w:rsidR="0062106F">
        <w:rPr>
          <w:rFonts w:ascii="Gill Sans MT" w:hAnsi="Gill Sans MT"/>
          <w:sz w:val="24"/>
          <w:szCs w:val="24"/>
        </w:rPr>
        <w:t>(</w:t>
      </w:r>
      <w:r w:rsidR="00BC256E">
        <w:rPr>
          <w:rFonts w:ascii="Gill Sans MT" w:hAnsi="Gill Sans MT"/>
          <w:sz w:val="24"/>
          <w:szCs w:val="24"/>
        </w:rPr>
        <w:t>IV</w:t>
      </w:r>
      <w:r w:rsidR="0062106F">
        <w:rPr>
          <w:rFonts w:ascii="Gill Sans MT" w:hAnsi="Gill Sans MT"/>
          <w:sz w:val="24"/>
          <w:szCs w:val="24"/>
        </w:rPr>
        <w:t xml:space="preserve">) </w:t>
      </w:r>
      <w:r w:rsidR="00BC256E">
        <w:rPr>
          <w:rFonts w:ascii="Gill Sans MT" w:hAnsi="Gill Sans MT"/>
          <w:sz w:val="24"/>
          <w:szCs w:val="24"/>
        </w:rPr>
        <w:t>e</w:t>
      </w:r>
      <w:r>
        <w:rPr>
          <w:rFonts w:ascii="Gill Sans MT" w:hAnsi="Gill Sans MT"/>
          <w:sz w:val="24"/>
          <w:szCs w:val="24"/>
        </w:rPr>
        <w:t>vidence-</w:t>
      </w:r>
      <w:r w:rsidR="00BC256E">
        <w:rPr>
          <w:rFonts w:ascii="Gill Sans MT" w:hAnsi="Gill Sans MT"/>
          <w:sz w:val="24"/>
          <w:szCs w:val="24"/>
        </w:rPr>
        <w:t>b</w:t>
      </w:r>
      <w:r w:rsidR="00F72DD4">
        <w:rPr>
          <w:rFonts w:ascii="Gill Sans MT" w:hAnsi="Gill Sans MT"/>
          <w:sz w:val="24"/>
          <w:szCs w:val="24"/>
        </w:rPr>
        <w:t xml:space="preserve">ased interventions. </w:t>
      </w:r>
      <w:r w:rsidR="0011107C">
        <w:rPr>
          <w:rFonts w:ascii="Gill Sans MT" w:hAnsi="Gill Sans MT"/>
          <w:sz w:val="24"/>
          <w:szCs w:val="24"/>
        </w:rPr>
        <w:t xml:space="preserve"> </w:t>
      </w:r>
      <w:r w:rsidR="00F10168">
        <w:rPr>
          <w:rFonts w:ascii="Gill Sans MT" w:hAnsi="Gill Sans MT"/>
          <w:sz w:val="24"/>
          <w:szCs w:val="24"/>
        </w:rPr>
        <w:t xml:space="preserve">The goal of this article is to help parents make an informed decision as to whether or not these </w:t>
      </w:r>
      <w:r w:rsidR="00415F5F">
        <w:rPr>
          <w:rFonts w:ascii="Gill Sans MT" w:hAnsi="Gill Sans MT"/>
          <w:sz w:val="24"/>
          <w:szCs w:val="24"/>
        </w:rPr>
        <w:t>vital</w:t>
      </w:r>
      <w:r w:rsidR="00F10168">
        <w:rPr>
          <w:rFonts w:ascii="Gill Sans MT" w:hAnsi="Gill Sans MT"/>
          <w:sz w:val="24"/>
          <w:szCs w:val="24"/>
        </w:rPr>
        <w:t xml:space="preserve"> components are being implemented in their schools</w:t>
      </w:r>
      <w:r w:rsidR="00496B12">
        <w:rPr>
          <w:rFonts w:ascii="Gill Sans MT" w:hAnsi="Gill Sans MT"/>
          <w:sz w:val="24"/>
          <w:szCs w:val="24"/>
        </w:rPr>
        <w:t xml:space="preserve"> to help their children learn</w:t>
      </w:r>
      <w:r w:rsidR="007836EA">
        <w:rPr>
          <w:rFonts w:ascii="Gill Sans MT" w:hAnsi="Gill Sans MT"/>
          <w:sz w:val="24"/>
          <w:szCs w:val="24"/>
        </w:rPr>
        <w:t xml:space="preserve">. </w:t>
      </w:r>
      <w:r w:rsidR="00E13840">
        <w:rPr>
          <w:rFonts w:ascii="Gill Sans MT" w:hAnsi="Gill Sans MT"/>
          <w:sz w:val="24"/>
          <w:szCs w:val="24"/>
        </w:rPr>
        <w:t xml:space="preserve">The last section of my article is primarily intended to help my readers distinguish </w:t>
      </w:r>
      <w:r w:rsidR="001D1894">
        <w:rPr>
          <w:rFonts w:ascii="Gill Sans MT" w:hAnsi="Gill Sans MT"/>
          <w:sz w:val="24"/>
          <w:szCs w:val="24"/>
        </w:rPr>
        <w:t>between GEI</w:t>
      </w:r>
      <w:r w:rsidR="004048B0">
        <w:rPr>
          <w:rFonts w:ascii="Gill Sans MT" w:hAnsi="Gill Sans MT"/>
          <w:sz w:val="24"/>
          <w:szCs w:val="24"/>
        </w:rPr>
        <w:t>s</w:t>
      </w:r>
      <w:r w:rsidR="001D1894">
        <w:rPr>
          <w:rFonts w:ascii="Gill Sans MT" w:hAnsi="Gill Sans MT"/>
          <w:sz w:val="24"/>
          <w:szCs w:val="24"/>
        </w:rPr>
        <w:t xml:space="preserve"> and RTI. </w:t>
      </w:r>
      <w:r w:rsidR="00E13840">
        <w:rPr>
          <w:rFonts w:ascii="Gill Sans MT" w:hAnsi="Gill Sans MT"/>
          <w:sz w:val="24"/>
          <w:szCs w:val="24"/>
        </w:rPr>
        <w:t xml:space="preserve"> </w:t>
      </w:r>
    </w:p>
    <w:p w:rsidR="00FA2D93" w:rsidRDefault="00FA2D93" w:rsidP="008C3698">
      <w:pPr>
        <w:spacing w:after="0" w:line="480" w:lineRule="auto"/>
        <w:jc w:val="both"/>
        <w:rPr>
          <w:rFonts w:ascii="Gill Sans MT" w:hAnsi="Gill Sans MT"/>
          <w:sz w:val="24"/>
          <w:szCs w:val="24"/>
        </w:rPr>
      </w:pPr>
      <w:r>
        <w:rPr>
          <w:rFonts w:ascii="Gill Sans MT" w:hAnsi="Gill Sans MT"/>
          <w:sz w:val="24"/>
          <w:szCs w:val="24"/>
        </w:rPr>
        <w:tab/>
        <w:t>Response to Intervention (</w:t>
      </w:r>
      <w:r w:rsidR="001D7539">
        <w:rPr>
          <w:rFonts w:ascii="Gill Sans MT" w:hAnsi="Gill Sans MT"/>
          <w:sz w:val="24"/>
          <w:szCs w:val="24"/>
        </w:rPr>
        <w:t xml:space="preserve">abbreviated </w:t>
      </w:r>
      <w:r>
        <w:rPr>
          <w:rFonts w:ascii="Gill Sans MT" w:hAnsi="Gill Sans MT"/>
          <w:sz w:val="24"/>
          <w:szCs w:val="24"/>
        </w:rPr>
        <w:t>RTI</w:t>
      </w:r>
      <w:r w:rsidR="001D7539">
        <w:rPr>
          <w:rFonts w:ascii="Gill Sans MT" w:hAnsi="Gill Sans MT"/>
          <w:sz w:val="24"/>
          <w:szCs w:val="24"/>
        </w:rPr>
        <w:t xml:space="preserve"> or RtI</w:t>
      </w:r>
      <w:r>
        <w:rPr>
          <w:rFonts w:ascii="Gill Sans MT" w:hAnsi="Gill Sans MT"/>
          <w:sz w:val="24"/>
          <w:szCs w:val="24"/>
        </w:rPr>
        <w:t xml:space="preserve">) refers to a three-tier system that addresses the diverse academic needs of all students by providing evidence-based practices, progress monitoring, and </w:t>
      </w:r>
      <w:r w:rsidR="00751653">
        <w:rPr>
          <w:rFonts w:ascii="Gill Sans MT" w:hAnsi="Gill Sans MT"/>
          <w:sz w:val="24"/>
          <w:szCs w:val="24"/>
        </w:rPr>
        <w:t xml:space="preserve">collaborative problem solving. </w:t>
      </w:r>
      <w:r w:rsidR="0093691C">
        <w:rPr>
          <w:rFonts w:ascii="Gill Sans MT" w:hAnsi="Gill Sans MT"/>
          <w:sz w:val="24"/>
          <w:szCs w:val="24"/>
        </w:rPr>
        <w:t>“Three-tier system</w:t>
      </w:r>
      <w:r w:rsidR="00611912">
        <w:rPr>
          <w:rFonts w:ascii="Gill Sans MT" w:hAnsi="Gill Sans MT"/>
          <w:sz w:val="24"/>
          <w:szCs w:val="24"/>
        </w:rPr>
        <w:t>”</w:t>
      </w:r>
      <w:r w:rsidR="0093691C">
        <w:rPr>
          <w:rFonts w:ascii="Gill Sans MT" w:hAnsi="Gill Sans MT"/>
          <w:sz w:val="24"/>
          <w:szCs w:val="24"/>
        </w:rPr>
        <w:t xml:space="preserve"> is a term in education that refers to three distinct levels of service delivery</w:t>
      </w:r>
      <w:r w:rsidR="00996F52">
        <w:rPr>
          <w:rFonts w:ascii="Gill Sans MT" w:hAnsi="Gill Sans MT"/>
          <w:sz w:val="24"/>
          <w:szCs w:val="24"/>
        </w:rPr>
        <w:t xml:space="preserve">.  Each level covers different types of interventions and supports for a clearly defined group of students.  </w:t>
      </w:r>
    </w:p>
    <w:p w:rsidR="009B04C7" w:rsidRDefault="00217541" w:rsidP="00111586">
      <w:pPr>
        <w:spacing w:line="480" w:lineRule="auto"/>
        <w:jc w:val="both"/>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7728" behindDoc="1" locked="0" layoutInCell="1" allowOverlap="1">
                <wp:simplePos x="0" y="0"/>
                <wp:positionH relativeFrom="column">
                  <wp:posOffset>-38100</wp:posOffset>
                </wp:positionH>
                <wp:positionV relativeFrom="paragraph">
                  <wp:posOffset>1152525</wp:posOffset>
                </wp:positionV>
                <wp:extent cx="6057900" cy="1113155"/>
                <wp:effectExtent l="9525" t="77470" r="7620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13155"/>
                        </a:xfrm>
                        <a:prstGeom prst="rect">
                          <a:avLst/>
                        </a:prstGeom>
                        <a:solidFill>
                          <a:srgbClr val="92D050"/>
                        </a:solidFill>
                        <a:ln w="12700">
                          <a:solidFill>
                            <a:srgbClr val="00B050"/>
                          </a:solidFill>
                          <a:miter lim="800000"/>
                          <a:headEnd/>
                          <a:tailEnd/>
                        </a:ln>
                        <a:effectLst>
                          <a:outerShdw dist="107763" dir="18900000" algn="ctr" rotWithShape="0">
                            <a:srgbClr val="92D05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90.75pt;width:477pt;height:8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" fillcolor="#92d050" strokecolor="#00b050" strokeweight="1pt">
                <v:shadow on="t" color="#92d050" opacity=".5" offset="6pt,-6pt"/>
              </v:rect>
            </w:pict>
          </mc:Fallback>
        </mc:AlternateContent>
      </w:r>
      <w:r w:rsidR="00D9253A">
        <w:rPr>
          <w:rFonts w:ascii="Gill Sans MT" w:hAnsi="Gill Sans MT"/>
          <w:sz w:val="24"/>
          <w:szCs w:val="24"/>
        </w:rPr>
        <w:tab/>
        <w:t>Tier 1 is th</w:t>
      </w:r>
      <w:r w:rsidR="00813522">
        <w:rPr>
          <w:rFonts w:ascii="Gill Sans MT" w:hAnsi="Gill Sans MT"/>
          <w:sz w:val="24"/>
          <w:szCs w:val="24"/>
        </w:rPr>
        <w:t xml:space="preserve">e general education classroom. </w:t>
      </w:r>
      <w:r w:rsidR="001A1666">
        <w:rPr>
          <w:rFonts w:ascii="Gill Sans MT" w:hAnsi="Gill Sans MT"/>
          <w:sz w:val="24"/>
          <w:szCs w:val="24"/>
        </w:rPr>
        <w:t xml:space="preserve">It represents the least-intensive and preventive level of service delivery.  Universal screening (e.g., diagnostic assessments) identifies those students likely to need more targeted interventions.  </w:t>
      </w:r>
    </w:p>
    <w:p w:rsidR="009B04C7" w:rsidRPr="00E22251" w:rsidRDefault="006700DE" w:rsidP="009F2034">
      <w:pPr>
        <w:spacing w:before="240" w:line="360" w:lineRule="auto"/>
        <w:rPr>
          <w:rFonts w:ascii="Gill Sans MT" w:hAnsi="Gill Sans MT"/>
          <w:b/>
          <w:sz w:val="24"/>
          <w:szCs w:val="24"/>
        </w:rPr>
      </w:pPr>
      <w:r w:rsidRPr="00E22251">
        <w:rPr>
          <w:rFonts w:ascii="Gill Sans MT" w:hAnsi="Gill Sans MT"/>
          <w:b/>
          <w:sz w:val="24"/>
          <w:szCs w:val="24"/>
        </w:rPr>
        <w:t>For more information</w:t>
      </w:r>
    </w:p>
    <w:p w:rsidR="009F2034" w:rsidRPr="00E22251" w:rsidRDefault="009B04C7" w:rsidP="006527FF">
      <w:pPr>
        <w:jc w:val="both"/>
        <w:rPr>
          <w:rFonts w:ascii="Gill Sans MT" w:hAnsi="Gill Sans MT"/>
          <w:sz w:val="24"/>
          <w:szCs w:val="24"/>
        </w:rPr>
      </w:pPr>
      <w:r w:rsidRPr="00E22251">
        <w:rPr>
          <w:rFonts w:ascii="Gill Sans MT" w:hAnsi="Gill Sans MT"/>
          <w:sz w:val="24"/>
          <w:szCs w:val="24"/>
        </w:rPr>
        <w:t>Visit</w:t>
      </w:r>
      <w:r w:rsidR="006700DE" w:rsidRPr="00E22251">
        <w:rPr>
          <w:rFonts w:ascii="Gill Sans MT" w:hAnsi="Gill Sans MT"/>
          <w:sz w:val="24"/>
          <w:szCs w:val="24"/>
        </w:rPr>
        <w:t xml:space="preserve"> the </w:t>
      </w:r>
      <w:r w:rsidR="006700DE" w:rsidRPr="00E22251">
        <w:rPr>
          <w:rFonts w:ascii="Gill Sans MT" w:hAnsi="Gill Sans MT"/>
          <w:sz w:val="24"/>
          <w:szCs w:val="24"/>
          <w:u w:val="single"/>
        </w:rPr>
        <w:t>National Center on RTI</w:t>
      </w:r>
      <w:r w:rsidR="006700DE" w:rsidRPr="00E22251">
        <w:rPr>
          <w:rFonts w:ascii="Gill Sans MT" w:hAnsi="Gill Sans MT"/>
          <w:sz w:val="24"/>
          <w:szCs w:val="24"/>
        </w:rPr>
        <w:t xml:space="preserve"> website at </w:t>
      </w:r>
      <w:hyperlink r:id="rId7" w:history="1">
        <w:r w:rsidR="00FD1865" w:rsidRPr="006527FF">
          <w:rPr>
            <w:rStyle w:val="Hyperlink"/>
            <w:rFonts w:ascii="Gill Sans MT" w:hAnsi="Gill Sans MT"/>
            <w:sz w:val="24"/>
            <w:szCs w:val="24"/>
            <w:u w:val="none"/>
          </w:rPr>
          <w:t>http://www.rti4success.org/</w:t>
        </w:r>
      </w:hyperlink>
      <w:r w:rsidR="00FD1865" w:rsidRPr="00E22251">
        <w:rPr>
          <w:rFonts w:ascii="Gill Sans MT" w:hAnsi="Gill Sans MT"/>
          <w:sz w:val="24"/>
          <w:szCs w:val="24"/>
        </w:rPr>
        <w:t xml:space="preserve"> </w:t>
      </w:r>
      <w:r w:rsidR="00D07E4E" w:rsidRPr="00E22251">
        <w:rPr>
          <w:rFonts w:ascii="Gill Sans MT" w:hAnsi="Gill Sans MT"/>
          <w:sz w:val="24"/>
          <w:szCs w:val="24"/>
        </w:rPr>
        <w:t>or the</w:t>
      </w:r>
      <w:r w:rsidR="00E838B4" w:rsidRPr="00E22251">
        <w:rPr>
          <w:rFonts w:ascii="Gill Sans MT" w:hAnsi="Gill Sans MT"/>
          <w:sz w:val="24"/>
          <w:szCs w:val="24"/>
        </w:rPr>
        <w:t xml:space="preserve"> </w:t>
      </w:r>
      <w:r w:rsidR="00FD1865" w:rsidRPr="00E22251">
        <w:rPr>
          <w:rFonts w:ascii="Gill Sans MT" w:hAnsi="Gill Sans MT"/>
          <w:sz w:val="24"/>
          <w:szCs w:val="24"/>
          <w:u w:val="single"/>
        </w:rPr>
        <w:t>RTI Action Network</w:t>
      </w:r>
      <w:r w:rsidR="00FD1865" w:rsidRPr="00E22251">
        <w:rPr>
          <w:rFonts w:ascii="Gill Sans MT" w:hAnsi="Gill Sans MT"/>
          <w:sz w:val="24"/>
          <w:szCs w:val="24"/>
        </w:rPr>
        <w:t xml:space="preserve"> website at </w:t>
      </w:r>
      <w:hyperlink r:id="rId8" w:history="1">
        <w:r w:rsidRPr="006527FF">
          <w:rPr>
            <w:rStyle w:val="Hyperlink"/>
            <w:rFonts w:ascii="Gill Sans MT" w:hAnsi="Gill Sans MT"/>
            <w:sz w:val="24"/>
            <w:szCs w:val="24"/>
            <w:u w:val="none"/>
          </w:rPr>
          <w:t>http://www.rtinetwork.org/</w:t>
        </w:r>
      </w:hyperlink>
      <w:r w:rsidRPr="00E22251">
        <w:rPr>
          <w:rFonts w:ascii="Gill Sans MT" w:hAnsi="Gill Sans MT"/>
          <w:sz w:val="24"/>
          <w:szCs w:val="24"/>
        </w:rPr>
        <w:t xml:space="preserve"> </w:t>
      </w:r>
      <w:r w:rsidR="00D07E4E" w:rsidRPr="00E22251">
        <w:rPr>
          <w:rFonts w:ascii="Gill Sans MT" w:hAnsi="Gill Sans MT"/>
          <w:sz w:val="24"/>
          <w:szCs w:val="24"/>
        </w:rPr>
        <w:t>for a quick review</w:t>
      </w:r>
      <w:r w:rsidR="00E838B4" w:rsidRPr="00E22251">
        <w:rPr>
          <w:rFonts w:ascii="Gill Sans MT" w:hAnsi="Gill Sans MT"/>
          <w:sz w:val="24"/>
          <w:szCs w:val="24"/>
        </w:rPr>
        <w:t xml:space="preserve"> </w:t>
      </w:r>
      <w:r w:rsidRPr="00E22251">
        <w:rPr>
          <w:rFonts w:ascii="Gill Sans MT" w:hAnsi="Gill Sans MT"/>
          <w:sz w:val="24"/>
          <w:szCs w:val="24"/>
        </w:rPr>
        <w:t xml:space="preserve">of </w:t>
      </w:r>
      <w:r w:rsidR="003A4E56">
        <w:rPr>
          <w:rFonts w:ascii="Gill Sans MT" w:hAnsi="Gill Sans MT"/>
          <w:sz w:val="24"/>
          <w:szCs w:val="24"/>
        </w:rPr>
        <w:t>efficient and valid</w:t>
      </w:r>
      <w:r w:rsidRPr="00E22251">
        <w:rPr>
          <w:rFonts w:ascii="Gill Sans MT" w:hAnsi="Gill Sans MT"/>
          <w:sz w:val="24"/>
          <w:szCs w:val="24"/>
        </w:rPr>
        <w:t xml:space="preserve"> </w:t>
      </w:r>
      <w:r w:rsidR="004E285F">
        <w:rPr>
          <w:rFonts w:ascii="Gill Sans MT" w:hAnsi="Gill Sans MT"/>
          <w:sz w:val="24"/>
          <w:szCs w:val="24"/>
        </w:rPr>
        <w:t xml:space="preserve">universal </w:t>
      </w:r>
      <w:r w:rsidRPr="00E22251">
        <w:rPr>
          <w:rFonts w:ascii="Gill Sans MT" w:hAnsi="Gill Sans MT"/>
          <w:sz w:val="24"/>
          <w:szCs w:val="24"/>
        </w:rPr>
        <w:t>screening measures.</w:t>
      </w:r>
    </w:p>
    <w:p w:rsidR="006527FF" w:rsidRPr="003F41F5" w:rsidRDefault="006527FF" w:rsidP="002747F7">
      <w:pPr>
        <w:spacing w:line="240" w:lineRule="auto"/>
        <w:ind w:firstLine="720"/>
        <w:jc w:val="both"/>
        <w:rPr>
          <w:rFonts w:ascii="Gill Sans MT" w:hAnsi="Gill Sans MT"/>
          <w:sz w:val="16"/>
          <w:szCs w:val="16"/>
        </w:rPr>
      </w:pPr>
    </w:p>
    <w:p w:rsidR="00E838B4" w:rsidRDefault="00D0568B" w:rsidP="00E838B4">
      <w:pPr>
        <w:spacing w:line="480" w:lineRule="auto"/>
        <w:ind w:firstLine="720"/>
        <w:jc w:val="both"/>
        <w:rPr>
          <w:rFonts w:ascii="Gill Sans MT" w:hAnsi="Gill Sans MT"/>
          <w:sz w:val="24"/>
          <w:szCs w:val="24"/>
        </w:rPr>
      </w:pPr>
      <w:r>
        <w:rPr>
          <w:rFonts w:ascii="Gill Sans MT" w:hAnsi="Gill Sans MT"/>
          <w:sz w:val="24"/>
          <w:szCs w:val="24"/>
        </w:rPr>
        <w:t xml:space="preserve">In the second tier (Tier 2), students receive more intensive and explicit instruction, often delivered through one or more of the following strategies: </w:t>
      </w:r>
      <w:r w:rsidR="00D96559">
        <w:rPr>
          <w:rFonts w:ascii="Gill Sans MT" w:hAnsi="Gill Sans MT"/>
          <w:sz w:val="24"/>
          <w:szCs w:val="24"/>
        </w:rPr>
        <w:t xml:space="preserve">increasing the duration and frequency of instruction; placing students in smaller groups; or providing instruction by teachers </w:t>
      </w:r>
      <w:r w:rsidR="00D96559">
        <w:rPr>
          <w:rFonts w:ascii="Gill Sans MT" w:hAnsi="Gill Sans MT"/>
          <w:sz w:val="24"/>
          <w:szCs w:val="24"/>
        </w:rPr>
        <w:lastRenderedPageBreak/>
        <w:t xml:space="preserve">with more expertise (Hannan, Holbrook, &amp; Ricci, 2012).  If students do not make progress after a specified period of Tier 2, they are then provided instruction that is considered Tier 3 intervention, which provides increasingly more intense individualized instruction and interventions or an alternative research-based curriculum.  </w:t>
      </w:r>
      <w:r w:rsidR="005624F7">
        <w:rPr>
          <w:rFonts w:ascii="Gill Sans MT" w:hAnsi="Gill Sans MT"/>
          <w:sz w:val="24"/>
          <w:szCs w:val="24"/>
        </w:rPr>
        <w:t xml:space="preserve">If Tier 3 is not successful, a student is considered as potentially having a learning disability and the referral process for a special education evaluation may begin.  </w:t>
      </w:r>
    </w:p>
    <w:p w:rsidR="00EE787D" w:rsidRDefault="00EE787D" w:rsidP="00EE787D">
      <w:pPr>
        <w:spacing w:line="480" w:lineRule="auto"/>
        <w:jc w:val="both"/>
        <w:rPr>
          <w:rFonts w:ascii="Gill Sans MT" w:hAnsi="Gill Sans MT"/>
          <w:sz w:val="24"/>
          <w:szCs w:val="24"/>
        </w:rPr>
      </w:pPr>
      <w:r>
        <w:rPr>
          <w:rFonts w:ascii="Gill Sans MT" w:hAnsi="Gill Sans MT"/>
          <w:sz w:val="24"/>
          <w:szCs w:val="24"/>
        </w:rPr>
        <w:t>PROGRESS MONITORING</w:t>
      </w:r>
    </w:p>
    <w:p w:rsidR="00A35619" w:rsidRDefault="00A111B7" w:rsidP="00D51442">
      <w:pPr>
        <w:spacing w:before="240" w:after="0" w:line="480" w:lineRule="auto"/>
        <w:jc w:val="both"/>
        <w:rPr>
          <w:rFonts w:ascii="Gill Sans MT" w:hAnsi="Gill Sans MT"/>
          <w:sz w:val="24"/>
          <w:szCs w:val="24"/>
        </w:rPr>
      </w:pPr>
      <w:r>
        <w:rPr>
          <w:rFonts w:ascii="Gill Sans MT" w:hAnsi="Gill Sans MT"/>
          <w:sz w:val="24"/>
          <w:szCs w:val="24"/>
        </w:rPr>
        <w:tab/>
        <w:t>To determine whether students are making appropriate progress and also identify any students who may need more intensive instruction, continuous progress monitoring across the tier-lev</w:t>
      </w:r>
      <w:r w:rsidR="00E37F6F">
        <w:rPr>
          <w:rFonts w:ascii="Gill Sans MT" w:hAnsi="Gill Sans MT"/>
          <w:sz w:val="24"/>
          <w:szCs w:val="24"/>
        </w:rPr>
        <w:t xml:space="preserve">el interventions is essential. </w:t>
      </w:r>
      <w:r>
        <w:rPr>
          <w:rFonts w:ascii="Gill Sans MT" w:hAnsi="Gill Sans MT"/>
          <w:sz w:val="24"/>
          <w:szCs w:val="24"/>
        </w:rPr>
        <w:t xml:space="preserve">When monitoring progress, educators use instruments based on standardized and validated curriculum-based measurement (CBM; Deno, 1985, 1986, 1989, 2003; Fuchs &amp; Deno, 1991; Shinn, 1989, 1998), </w:t>
      </w:r>
      <w:r w:rsidR="00FD15DE">
        <w:rPr>
          <w:rFonts w:ascii="Gill Sans MT" w:hAnsi="Gill Sans MT"/>
          <w:sz w:val="24"/>
          <w:szCs w:val="24"/>
        </w:rPr>
        <w:t>such as Dynamic Indicators of Basic Early Literacy Skills, DIBELS, AIMSweb, or early numeracy, in frequent intervals of three to four weeks to assess</w:t>
      </w:r>
      <w:r w:rsidR="00E37F6F">
        <w:rPr>
          <w:rFonts w:ascii="Gill Sans MT" w:hAnsi="Gill Sans MT"/>
          <w:sz w:val="24"/>
          <w:szCs w:val="24"/>
        </w:rPr>
        <w:t xml:space="preserve"> a student’s growth over time. </w:t>
      </w:r>
      <w:r w:rsidR="00FD15DE">
        <w:rPr>
          <w:rFonts w:ascii="Gill Sans MT" w:hAnsi="Gill Sans MT"/>
          <w:sz w:val="24"/>
          <w:szCs w:val="24"/>
        </w:rPr>
        <w:t>[</w:t>
      </w:r>
      <w:r w:rsidR="008F065B">
        <w:rPr>
          <w:rFonts w:ascii="Gill Sans MT" w:hAnsi="Gill Sans MT"/>
          <w:sz w:val="24"/>
          <w:szCs w:val="24"/>
        </w:rPr>
        <w:t xml:space="preserve">For the purposes of using RTI as an early component of </w:t>
      </w:r>
      <w:r w:rsidR="00C404BB">
        <w:rPr>
          <w:rFonts w:ascii="Gill Sans MT" w:hAnsi="Gill Sans MT"/>
          <w:sz w:val="24"/>
          <w:szCs w:val="24"/>
        </w:rPr>
        <w:t>specific learning disability (</w:t>
      </w:r>
      <w:r w:rsidR="008F065B">
        <w:rPr>
          <w:rFonts w:ascii="Gill Sans MT" w:hAnsi="Gill Sans MT"/>
          <w:sz w:val="24"/>
          <w:szCs w:val="24"/>
        </w:rPr>
        <w:t>SLD</w:t>
      </w:r>
      <w:r w:rsidR="00C404BB">
        <w:rPr>
          <w:rFonts w:ascii="Gill Sans MT" w:hAnsi="Gill Sans MT"/>
          <w:sz w:val="24"/>
          <w:szCs w:val="24"/>
        </w:rPr>
        <w:t>)</w:t>
      </w:r>
      <w:r w:rsidR="008F065B">
        <w:rPr>
          <w:rFonts w:ascii="Gill Sans MT" w:hAnsi="Gill Sans MT"/>
          <w:sz w:val="24"/>
          <w:szCs w:val="24"/>
        </w:rPr>
        <w:t xml:space="preserve"> determination, </w:t>
      </w:r>
      <w:r w:rsidR="00981A37">
        <w:rPr>
          <w:rFonts w:ascii="Gill Sans MT" w:hAnsi="Gill Sans MT"/>
          <w:sz w:val="24"/>
          <w:szCs w:val="24"/>
        </w:rPr>
        <w:t xml:space="preserve">CBM fits its </w:t>
      </w:r>
      <w:r w:rsidR="00CD486E">
        <w:rPr>
          <w:rFonts w:ascii="Gill Sans MT" w:hAnsi="Gill Sans MT"/>
          <w:sz w:val="24"/>
          <w:szCs w:val="24"/>
        </w:rPr>
        <w:t xml:space="preserve">intended </w:t>
      </w:r>
      <w:r w:rsidR="00981A37">
        <w:rPr>
          <w:rFonts w:ascii="Gill Sans MT" w:hAnsi="Gill Sans MT"/>
          <w:sz w:val="24"/>
          <w:szCs w:val="24"/>
        </w:rPr>
        <w:t>purpose</w:t>
      </w:r>
      <w:r w:rsidR="008F065B">
        <w:rPr>
          <w:rFonts w:ascii="Gill Sans MT" w:hAnsi="Gill Sans MT"/>
          <w:sz w:val="24"/>
          <w:szCs w:val="24"/>
        </w:rPr>
        <w:t xml:space="preserve"> </w:t>
      </w:r>
      <w:r w:rsidR="00CD486E">
        <w:rPr>
          <w:rFonts w:ascii="Gill Sans MT" w:hAnsi="Gill Sans MT"/>
          <w:sz w:val="24"/>
          <w:szCs w:val="24"/>
        </w:rPr>
        <w:t>of</w:t>
      </w:r>
      <w:r w:rsidR="008F065B">
        <w:rPr>
          <w:rFonts w:ascii="Gill Sans MT" w:hAnsi="Gill Sans MT"/>
          <w:sz w:val="24"/>
          <w:szCs w:val="24"/>
        </w:rPr>
        <w:t xml:space="preserve"> monitor</w:t>
      </w:r>
      <w:r w:rsidR="00CD486E">
        <w:rPr>
          <w:rFonts w:ascii="Gill Sans MT" w:hAnsi="Gill Sans MT"/>
          <w:sz w:val="24"/>
          <w:szCs w:val="24"/>
        </w:rPr>
        <w:t>ing</w:t>
      </w:r>
      <w:r w:rsidR="008F065B">
        <w:rPr>
          <w:rFonts w:ascii="Gill Sans MT" w:hAnsi="Gill Sans MT"/>
          <w:sz w:val="24"/>
          <w:szCs w:val="24"/>
        </w:rPr>
        <w:t xml:space="preserve"> progress </w:t>
      </w:r>
      <w:r w:rsidR="00981A37">
        <w:rPr>
          <w:rFonts w:ascii="Gill Sans MT" w:hAnsi="Gill Sans MT"/>
          <w:sz w:val="24"/>
          <w:szCs w:val="24"/>
        </w:rPr>
        <w:t xml:space="preserve">given its documented </w:t>
      </w:r>
      <w:r w:rsidR="003B2986">
        <w:rPr>
          <w:rFonts w:ascii="Gill Sans MT" w:hAnsi="Gill Sans MT"/>
          <w:sz w:val="24"/>
          <w:szCs w:val="24"/>
        </w:rPr>
        <w:t>effectiveness</w:t>
      </w:r>
      <w:r w:rsidR="00981A37">
        <w:rPr>
          <w:rFonts w:ascii="Gill Sans MT" w:hAnsi="Gill Sans MT"/>
          <w:sz w:val="24"/>
          <w:szCs w:val="24"/>
        </w:rPr>
        <w:t xml:space="preserve"> in monitoring progress for </w:t>
      </w:r>
      <w:r w:rsidR="00CD486E">
        <w:rPr>
          <w:rFonts w:ascii="Gill Sans MT" w:hAnsi="Gill Sans MT"/>
          <w:sz w:val="24"/>
          <w:szCs w:val="24"/>
        </w:rPr>
        <w:t>s</w:t>
      </w:r>
      <w:r w:rsidR="00981A37">
        <w:rPr>
          <w:rFonts w:ascii="Gill Sans MT" w:hAnsi="Gill Sans MT"/>
          <w:sz w:val="24"/>
          <w:szCs w:val="24"/>
        </w:rPr>
        <w:t>tudents with disabilities (Deno, 2003; Fuchs &amp; Fuchs, 1986b, 1999; Fuchs &amp; Vaughn, 2005)].</w:t>
      </w:r>
      <w:r w:rsidR="00C77E7D">
        <w:rPr>
          <w:rFonts w:ascii="Gill Sans MT" w:hAnsi="Gill Sans MT"/>
          <w:sz w:val="24"/>
          <w:szCs w:val="24"/>
        </w:rPr>
        <w:t xml:space="preserve"> </w:t>
      </w:r>
      <w:r w:rsidR="009818C8">
        <w:rPr>
          <w:rFonts w:ascii="Gill Sans MT" w:hAnsi="Gill Sans MT"/>
          <w:sz w:val="24"/>
          <w:szCs w:val="24"/>
        </w:rPr>
        <w:t>These computer-based instruments typically offer benchmark indicators to assess a st</w:t>
      </w:r>
      <w:r w:rsidR="00641A71">
        <w:rPr>
          <w:rFonts w:ascii="Gill Sans MT" w:hAnsi="Gill Sans MT"/>
          <w:sz w:val="24"/>
          <w:szCs w:val="24"/>
        </w:rPr>
        <w:t xml:space="preserve">udent’s academic progress. </w:t>
      </w:r>
      <w:r w:rsidR="009818C8">
        <w:rPr>
          <w:rFonts w:ascii="Gill Sans MT" w:hAnsi="Gill Sans MT"/>
          <w:sz w:val="24"/>
          <w:szCs w:val="24"/>
        </w:rPr>
        <w:t xml:space="preserve">Through the use of this dynamic indicator of student achievement, teachers can identify each student’s areas of need and make decisions regarding changes in programming, placement, or intensity of instruction in a timely manner if “non-responsiveness” (resistance to </w:t>
      </w:r>
      <w:r w:rsidR="00EC4158">
        <w:rPr>
          <w:rFonts w:ascii="Gill Sans MT" w:hAnsi="Gill Sans MT"/>
          <w:sz w:val="24"/>
          <w:szCs w:val="24"/>
        </w:rPr>
        <w:lastRenderedPageBreak/>
        <w:t xml:space="preserve">interventions) is found. </w:t>
      </w:r>
      <w:r w:rsidR="0089496C">
        <w:rPr>
          <w:rFonts w:ascii="Gill Sans MT" w:hAnsi="Gill Sans MT"/>
          <w:sz w:val="24"/>
          <w:szCs w:val="24"/>
        </w:rPr>
        <w:t>Within an RTI process, students who are receiving appropriate educational services are expected to show progress in their current instructional program.  A student who is responding to evidence-based instruction will demonstrate adequate growth patterns over time in a p</w:t>
      </w:r>
      <w:r w:rsidR="00E06461">
        <w:rPr>
          <w:rFonts w:ascii="Gill Sans MT" w:hAnsi="Gill Sans MT"/>
          <w:sz w:val="24"/>
          <w:szCs w:val="24"/>
        </w:rPr>
        <w:t xml:space="preserve">rogress-monitoring data chart.  </w:t>
      </w:r>
      <w:r w:rsidR="00F76EC7">
        <w:rPr>
          <w:rFonts w:ascii="Gill Sans MT" w:hAnsi="Gill Sans MT"/>
          <w:sz w:val="24"/>
          <w:szCs w:val="24"/>
        </w:rPr>
        <w:t>In contrast, a student who does not show growth in response to a level of evidence-based instruction is a non-responder</w:t>
      </w:r>
      <w:r w:rsidR="00974265">
        <w:rPr>
          <w:rFonts w:ascii="Gill Sans MT" w:hAnsi="Gill Sans MT"/>
          <w:sz w:val="24"/>
          <w:szCs w:val="24"/>
        </w:rPr>
        <w:t xml:space="preserve"> (Hannan et al., 2012). </w:t>
      </w:r>
      <w:r w:rsidR="00C17012">
        <w:rPr>
          <w:rFonts w:ascii="Gill Sans MT" w:hAnsi="Gill Sans MT"/>
          <w:sz w:val="24"/>
          <w:szCs w:val="24"/>
        </w:rPr>
        <w:t>Non-responders to interventions are students who do not make adequate progress despite participation in evidence-based instruction (McMaster, Fuchs, Fuchs, &amp; Compton, 2005).</w:t>
      </w:r>
    </w:p>
    <w:p w:rsidR="00873156" w:rsidRDefault="00217541" w:rsidP="00A35619">
      <w:pPr>
        <w:spacing w:after="0" w:line="240" w:lineRule="auto"/>
        <w:jc w:val="both"/>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8752" behindDoc="1" locked="0" layoutInCell="1" allowOverlap="1">
                <wp:simplePos x="0" y="0"/>
                <wp:positionH relativeFrom="column">
                  <wp:posOffset>-66675</wp:posOffset>
                </wp:positionH>
                <wp:positionV relativeFrom="paragraph">
                  <wp:posOffset>86360</wp:posOffset>
                </wp:positionV>
                <wp:extent cx="6067425" cy="1306195"/>
                <wp:effectExtent l="9525" t="74930" r="76200"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306195"/>
                        </a:xfrm>
                        <a:prstGeom prst="rect">
                          <a:avLst/>
                        </a:prstGeom>
                        <a:solidFill>
                          <a:srgbClr val="92D050"/>
                        </a:solidFill>
                        <a:ln w="12700">
                          <a:solidFill>
                            <a:srgbClr val="00B050"/>
                          </a:solidFill>
                          <a:miter lim="800000"/>
                          <a:headEnd/>
                          <a:tailEnd/>
                        </a:ln>
                        <a:effectLst>
                          <a:outerShdw dist="107763" dir="18900000" algn="ctr" rotWithShape="0">
                            <a:srgbClr val="92D05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5pt;margin-top:6.8pt;width:477.75pt;height:10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" fillcolor="#92d050" strokecolor="#00b050" strokeweight="1pt">
                <v:shadow on="t" color="#92d050" opacity=".5" offset="6pt,-6pt"/>
              </v:rect>
            </w:pict>
          </mc:Fallback>
        </mc:AlternateContent>
      </w:r>
    </w:p>
    <w:p w:rsidR="00873156" w:rsidRPr="006204B9" w:rsidRDefault="00873156" w:rsidP="005C2FA8">
      <w:pPr>
        <w:spacing w:after="0" w:line="480" w:lineRule="auto"/>
        <w:jc w:val="both"/>
        <w:rPr>
          <w:rFonts w:ascii="Gill Sans MT" w:hAnsi="Gill Sans MT"/>
          <w:sz w:val="24"/>
          <w:szCs w:val="24"/>
        </w:rPr>
      </w:pPr>
      <w:r w:rsidRPr="006204B9">
        <w:rPr>
          <w:rFonts w:ascii="Gill Sans MT" w:hAnsi="Gill Sans MT"/>
          <w:b/>
          <w:sz w:val="24"/>
          <w:szCs w:val="24"/>
        </w:rPr>
        <w:t>For more information</w:t>
      </w:r>
    </w:p>
    <w:p w:rsidR="00873156" w:rsidRDefault="00873156" w:rsidP="00FC2B39">
      <w:pPr>
        <w:rPr>
          <w:rFonts w:ascii="Gill Sans MT" w:hAnsi="Gill Sans MT"/>
          <w:sz w:val="24"/>
          <w:szCs w:val="24"/>
        </w:rPr>
      </w:pPr>
      <w:r w:rsidRPr="006204B9">
        <w:rPr>
          <w:rFonts w:ascii="Gill Sans MT" w:hAnsi="Gill Sans MT"/>
          <w:sz w:val="24"/>
          <w:szCs w:val="24"/>
        </w:rPr>
        <w:t xml:space="preserve">Visit the </w:t>
      </w:r>
      <w:r w:rsidRPr="006204B9">
        <w:rPr>
          <w:rFonts w:ascii="Gill Sans MT" w:hAnsi="Gill Sans MT"/>
          <w:sz w:val="24"/>
          <w:szCs w:val="24"/>
          <w:u w:val="single"/>
        </w:rPr>
        <w:t>National Center on RTI</w:t>
      </w:r>
      <w:r w:rsidRPr="006204B9">
        <w:rPr>
          <w:rFonts w:ascii="Gill Sans MT" w:hAnsi="Gill Sans MT"/>
          <w:sz w:val="24"/>
          <w:szCs w:val="24"/>
        </w:rPr>
        <w:t xml:space="preserve"> website at </w:t>
      </w:r>
      <w:hyperlink r:id="rId9" w:history="1">
        <w:r w:rsidRPr="00D92A6F">
          <w:rPr>
            <w:rStyle w:val="Hyperlink"/>
            <w:rFonts w:ascii="Gill Sans MT" w:hAnsi="Gill Sans MT"/>
            <w:sz w:val="24"/>
            <w:szCs w:val="24"/>
            <w:u w:val="none"/>
          </w:rPr>
          <w:t>http://www.rti4success.org/</w:t>
        </w:r>
      </w:hyperlink>
      <w:r w:rsidRPr="00D92A6F">
        <w:rPr>
          <w:rFonts w:ascii="Gill Sans MT" w:hAnsi="Gill Sans MT"/>
          <w:sz w:val="24"/>
          <w:szCs w:val="24"/>
        </w:rPr>
        <w:t xml:space="preserve"> </w:t>
      </w:r>
      <w:r w:rsidRPr="006204B9">
        <w:rPr>
          <w:rFonts w:ascii="Gill Sans MT" w:hAnsi="Gill Sans MT"/>
          <w:sz w:val="24"/>
          <w:szCs w:val="24"/>
        </w:rPr>
        <w:t xml:space="preserve">or the </w:t>
      </w:r>
      <w:r w:rsidRPr="006204B9">
        <w:rPr>
          <w:rFonts w:ascii="Gill Sans MT" w:hAnsi="Gill Sans MT"/>
          <w:sz w:val="24"/>
          <w:szCs w:val="24"/>
          <w:u w:val="single"/>
        </w:rPr>
        <w:t>National Center on Intensive Intervention</w:t>
      </w:r>
      <w:r w:rsidRPr="006204B9">
        <w:rPr>
          <w:rFonts w:ascii="Gill Sans MT" w:hAnsi="Gill Sans MT"/>
          <w:sz w:val="24"/>
          <w:szCs w:val="24"/>
        </w:rPr>
        <w:t xml:space="preserve"> website at </w:t>
      </w:r>
      <w:hyperlink r:id="rId10" w:history="1">
        <w:r w:rsidR="006471D3" w:rsidRPr="00D92A6F">
          <w:rPr>
            <w:rStyle w:val="Hyperlink"/>
            <w:rFonts w:ascii="Gill Sans MT" w:hAnsi="Gill Sans MT"/>
            <w:sz w:val="24"/>
            <w:szCs w:val="24"/>
            <w:u w:val="none"/>
          </w:rPr>
          <w:t>http://www.intensiveintervention.org/</w:t>
        </w:r>
      </w:hyperlink>
      <w:r w:rsidRPr="006204B9">
        <w:rPr>
          <w:rFonts w:ascii="Gill Sans MT" w:hAnsi="Gill Sans MT"/>
          <w:sz w:val="24"/>
          <w:szCs w:val="24"/>
        </w:rPr>
        <w:t xml:space="preserve"> for a quick review of </w:t>
      </w:r>
      <w:r w:rsidR="000F3C54">
        <w:rPr>
          <w:rFonts w:ascii="Gill Sans MT" w:hAnsi="Gill Sans MT"/>
          <w:sz w:val="24"/>
          <w:szCs w:val="24"/>
        </w:rPr>
        <w:t xml:space="preserve">reliable and valid </w:t>
      </w:r>
      <w:r w:rsidR="006471D3" w:rsidRPr="006204B9">
        <w:rPr>
          <w:rFonts w:ascii="Gill Sans MT" w:hAnsi="Gill Sans MT"/>
          <w:sz w:val="24"/>
          <w:szCs w:val="24"/>
        </w:rPr>
        <w:t>progress monitoring tools</w:t>
      </w:r>
      <w:r w:rsidRPr="006204B9">
        <w:rPr>
          <w:rFonts w:ascii="Gill Sans MT" w:hAnsi="Gill Sans MT"/>
          <w:sz w:val="24"/>
          <w:szCs w:val="24"/>
        </w:rPr>
        <w:t>.</w:t>
      </w:r>
      <w:r w:rsidR="00F078E5">
        <w:rPr>
          <w:rFonts w:ascii="Gill Sans MT" w:hAnsi="Gill Sans MT"/>
          <w:sz w:val="24"/>
          <w:szCs w:val="24"/>
        </w:rPr>
        <w:t xml:space="preserve">  </w:t>
      </w:r>
      <w:r w:rsidR="00555D25">
        <w:rPr>
          <w:rFonts w:ascii="Gill Sans MT" w:hAnsi="Gill Sans MT"/>
          <w:sz w:val="24"/>
          <w:szCs w:val="24"/>
        </w:rPr>
        <w:t xml:space="preserve">Be sure to view the Academic Progress Monitoring </w:t>
      </w:r>
      <w:r w:rsidR="00961C1F">
        <w:rPr>
          <w:rFonts w:ascii="Gill Sans MT" w:hAnsi="Gill Sans MT"/>
          <w:sz w:val="24"/>
          <w:szCs w:val="24"/>
        </w:rPr>
        <w:t>C</w:t>
      </w:r>
      <w:r w:rsidR="00555D25">
        <w:rPr>
          <w:rFonts w:ascii="Gill Sans MT" w:hAnsi="Gill Sans MT"/>
          <w:sz w:val="24"/>
          <w:szCs w:val="24"/>
        </w:rPr>
        <w:t xml:space="preserve">hart at </w:t>
      </w:r>
      <w:hyperlink r:id="rId11" w:history="1">
        <w:r w:rsidR="00F078E5" w:rsidRPr="00D92A6F">
          <w:rPr>
            <w:rStyle w:val="Hyperlink"/>
            <w:rFonts w:ascii="Gill Sans MT" w:hAnsi="Gill Sans MT"/>
            <w:sz w:val="24"/>
            <w:szCs w:val="24"/>
            <w:u w:val="none"/>
          </w:rPr>
          <w:t>http://www.intensiveintervention.org/chart/progress-monitoring</w:t>
        </w:r>
      </w:hyperlink>
      <w:r w:rsidR="00B00F17">
        <w:rPr>
          <w:rFonts w:ascii="Gill Sans MT" w:hAnsi="Gill Sans MT"/>
          <w:sz w:val="24"/>
          <w:szCs w:val="24"/>
        </w:rPr>
        <w:t xml:space="preserve"> </w:t>
      </w:r>
    </w:p>
    <w:p w:rsidR="00D92A6F" w:rsidRDefault="00D92A6F" w:rsidP="00A84B2C">
      <w:pPr>
        <w:spacing w:line="240" w:lineRule="auto"/>
        <w:jc w:val="both"/>
        <w:rPr>
          <w:rFonts w:ascii="Gill Sans MT" w:hAnsi="Gill Sans MT"/>
          <w:sz w:val="24"/>
          <w:szCs w:val="24"/>
        </w:rPr>
      </w:pPr>
    </w:p>
    <w:p w:rsidR="00415201" w:rsidRDefault="00415201" w:rsidP="00515A2B">
      <w:pPr>
        <w:spacing w:line="480" w:lineRule="auto"/>
        <w:jc w:val="both"/>
        <w:rPr>
          <w:rFonts w:ascii="Gill Sans MT" w:hAnsi="Gill Sans MT"/>
          <w:sz w:val="24"/>
          <w:szCs w:val="24"/>
        </w:rPr>
      </w:pPr>
      <w:r>
        <w:rPr>
          <w:rFonts w:ascii="Gill Sans MT" w:hAnsi="Gill Sans MT"/>
          <w:sz w:val="24"/>
          <w:szCs w:val="24"/>
        </w:rPr>
        <w:t>CONTINUUM OF EVIDENCE-BASED INTERVENTIONS</w:t>
      </w:r>
    </w:p>
    <w:p w:rsidR="00600567" w:rsidRDefault="00764E01" w:rsidP="006B5CC6">
      <w:pPr>
        <w:spacing w:after="0" w:line="480" w:lineRule="auto"/>
        <w:jc w:val="both"/>
        <w:rPr>
          <w:rFonts w:ascii="Gill Sans MT" w:hAnsi="Gill Sans MT"/>
          <w:sz w:val="24"/>
          <w:szCs w:val="24"/>
        </w:rPr>
      </w:pPr>
      <w:r>
        <w:rPr>
          <w:rFonts w:ascii="Gill Sans MT" w:hAnsi="Gill Sans MT"/>
          <w:sz w:val="24"/>
          <w:szCs w:val="24"/>
        </w:rPr>
        <w:tab/>
        <w:t xml:space="preserve">Under the RTI approach, instructional practices and interventions are based on what empirical, scientific, and rigorous research has shown </w:t>
      </w:r>
      <w:r w:rsidR="004B73D2">
        <w:rPr>
          <w:rFonts w:ascii="Gill Sans MT" w:hAnsi="Gill Sans MT"/>
          <w:sz w:val="24"/>
          <w:szCs w:val="24"/>
        </w:rPr>
        <w:t xml:space="preserve">to be effective with students. </w:t>
      </w:r>
      <w:r w:rsidR="00E963FB">
        <w:rPr>
          <w:rFonts w:ascii="Gill Sans MT" w:hAnsi="Gill Sans MT"/>
          <w:sz w:val="24"/>
          <w:szCs w:val="24"/>
        </w:rPr>
        <w:t>Thes</w:t>
      </w:r>
      <w:r w:rsidR="00D002B2">
        <w:rPr>
          <w:rFonts w:ascii="Gill Sans MT" w:hAnsi="Gill Sans MT"/>
          <w:sz w:val="24"/>
          <w:szCs w:val="24"/>
        </w:rPr>
        <w:t>e</w:t>
      </w:r>
      <w:r w:rsidR="00E963FB">
        <w:rPr>
          <w:rFonts w:ascii="Gill Sans MT" w:hAnsi="Gill Sans MT"/>
          <w:sz w:val="24"/>
          <w:szCs w:val="24"/>
        </w:rPr>
        <w:t xml:space="preserve"> intervention programs may include SRSD for Writing Strategies</w:t>
      </w:r>
      <w:r w:rsidR="000E0507">
        <w:rPr>
          <w:rFonts w:ascii="Gill Sans MT" w:hAnsi="Gill Sans MT"/>
          <w:sz w:val="24"/>
          <w:szCs w:val="24"/>
        </w:rPr>
        <w:t xml:space="preserve"> (NCRTI, 2010; NCII, 2012), Stepping Stones to Literacy (NCRTI, 2010; WWC, 2007) or Number Rockets (NCRTI, 2010).  </w:t>
      </w:r>
      <w:r w:rsidR="006315C9">
        <w:rPr>
          <w:rFonts w:ascii="Gill Sans MT" w:hAnsi="Gill Sans MT"/>
          <w:sz w:val="24"/>
          <w:szCs w:val="24"/>
        </w:rPr>
        <w:t>Also,</w:t>
      </w:r>
      <w:r w:rsidR="00457D94">
        <w:rPr>
          <w:rFonts w:ascii="Gill Sans MT" w:hAnsi="Gill Sans MT"/>
          <w:sz w:val="24"/>
          <w:szCs w:val="24"/>
        </w:rPr>
        <w:t xml:space="preserve"> </w:t>
      </w:r>
      <w:r w:rsidR="006315C9">
        <w:rPr>
          <w:rFonts w:ascii="Gill Sans MT" w:hAnsi="Gill Sans MT"/>
          <w:sz w:val="24"/>
          <w:szCs w:val="24"/>
        </w:rPr>
        <w:t>an important thing to keep in mind</w:t>
      </w:r>
      <w:r w:rsidR="00457D94">
        <w:rPr>
          <w:rFonts w:ascii="Gill Sans MT" w:hAnsi="Gill Sans MT"/>
          <w:sz w:val="24"/>
          <w:szCs w:val="24"/>
        </w:rPr>
        <w:t xml:space="preserve"> </w:t>
      </w:r>
      <w:r w:rsidR="006315C9">
        <w:rPr>
          <w:rFonts w:ascii="Gill Sans MT" w:hAnsi="Gill Sans MT"/>
          <w:sz w:val="24"/>
          <w:szCs w:val="24"/>
        </w:rPr>
        <w:t>is</w:t>
      </w:r>
      <w:r w:rsidR="00457D94">
        <w:rPr>
          <w:rFonts w:ascii="Gill Sans MT" w:hAnsi="Gill Sans MT"/>
          <w:sz w:val="24"/>
          <w:szCs w:val="24"/>
        </w:rPr>
        <w:t xml:space="preserve"> that non-responsiveness to an intervention could also be caused by the “absence of good teaching” and this </w:t>
      </w:r>
      <w:r w:rsidR="00D5596C">
        <w:rPr>
          <w:rFonts w:ascii="Gill Sans MT" w:hAnsi="Gill Sans MT"/>
          <w:sz w:val="24"/>
          <w:szCs w:val="24"/>
        </w:rPr>
        <w:t>(</w:t>
      </w:r>
      <w:r w:rsidR="000F1005">
        <w:rPr>
          <w:rFonts w:ascii="Gill Sans MT" w:hAnsi="Gill Sans MT"/>
          <w:sz w:val="24"/>
          <w:szCs w:val="24"/>
        </w:rPr>
        <w:t>and many other problems</w:t>
      </w:r>
      <w:r w:rsidR="00D5596C">
        <w:rPr>
          <w:rFonts w:ascii="Gill Sans MT" w:hAnsi="Gill Sans MT"/>
          <w:sz w:val="24"/>
          <w:szCs w:val="24"/>
        </w:rPr>
        <w:t>)</w:t>
      </w:r>
      <w:r w:rsidR="000F1005">
        <w:rPr>
          <w:rFonts w:ascii="Gill Sans MT" w:hAnsi="Gill Sans MT"/>
          <w:sz w:val="24"/>
          <w:szCs w:val="24"/>
        </w:rPr>
        <w:t xml:space="preserve"> </w:t>
      </w:r>
      <w:r w:rsidR="00D5596C">
        <w:rPr>
          <w:rFonts w:ascii="Gill Sans MT" w:hAnsi="Gill Sans MT"/>
          <w:sz w:val="24"/>
          <w:szCs w:val="24"/>
        </w:rPr>
        <w:t>can</w:t>
      </w:r>
      <w:r w:rsidR="00457D94">
        <w:rPr>
          <w:rFonts w:ascii="Gill Sans MT" w:hAnsi="Gill Sans MT"/>
          <w:sz w:val="24"/>
          <w:szCs w:val="24"/>
        </w:rPr>
        <w:t xml:space="preserve"> be </w:t>
      </w:r>
      <w:r w:rsidR="00457D94">
        <w:rPr>
          <w:rFonts w:ascii="Gill Sans MT" w:hAnsi="Gill Sans MT"/>
          <w:sz w:val="24"/>
          <w:szCs w:val="24"/>
        </w:rPr>
        <w:lastRenderedPageBreak/>
        <w:t xml:space="preserve">tackled by having highly qualified and knowledgeable personnel deliver the necessary interventions (Hannan et al., 2012).  </w:t>
      </w:r>
    </w:p>
    <w:p w:rsidR="00E151DB" w:rsidRPr="00600567" w:rsidRDefault="00217541" w:rsidP="00600567">
      <w:pPr>
        <w:spacing w:after="0" w:line="240" w:lineRule="auto"/>
        <w:jc w:val="both"/>
        <w:rPr>
          <w:rFonts w:ascii="Gill Sans MT" w:hAnsi="Gill Sans MT"/>
          <w:sz w:val="24"/>
          <w:szCs w:val="24"/>
        </w:rPr>
      </w:pPr>
      <w:r>
        <w:rPr>
          <w:rFonts w:ascii="Gill Sans MT" w:hAnsi="Gill Sans MT"/>
          <w:b/>
          <w:noProof/>
          <w:sz w:val="24"/>
          <w:szCs w:val="24"/>
        </w:rPr>
        <mc:AlternateContent>
          <mc:Choice Requires="wps">
            <w:drawing>
              <wp:anchor distT="0" distB="0" distL="114300" distR="114300" simplePos="0" relativeHeight="251659776" behindDoc="1" locked="0" layoutInCell="1" allowOverlap="1">
                <wp:simplePos x="0" y="0"/>
                <wp:positionH relativeFrom="column">
                  <wp:posOffset>-66675</wp:posOffset>
                </wp:positionH>
                <wp:positionV relativeFrom="paragraph">
                  <wp:posOffset>103505</wp:posOffset>
                </wp:positionV>
                <wp:extent cx="2867025" cy="4597400"/>
                <wp:effectExtent l="76200" t="76200" r="9525"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597400"/>
                        </a:xfrm>
                        <a:prstGeom prst="rect">
                          <a:avLst/>
                        </a:prstGeom>
                        <a:solidFill>
                          <a:srgbClr val="92D050"/>
                        </a:solidFill>
                        <a:ln w="12700">
                          <a:solidFill>
                            <a:srgbClr val="00B050"/>
                          </a:solidFill>
                          <a:miter lim="800000"/>
                          <a:headEnd/>
                          <a:tailEnd/>
                        </a:ln>
                        <a:effectLst>
                          <a:prstShdw prst="shdw13" dist="53882" dir="13500000">
                            <a:srgbClr val="92D05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5pt;margin-top:8.15pt;width:225.75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" fillcolor="#92d050" strokecolor="#00b050" strokeweight="1pt">
                <v:shadow on="t" type="double" color="#92d050" opacity=".5" color2="shadow add(102)" offset="-3pt,-3pt" offset2="-6pt,-6pt"/>
              </v:rect>
            </w:pict>
          </mc:Fallback>
        </mc:AlternateContent>
      </w:r>
    </w:p>
    <w:p w:rsidR="00E151DB" w:rsidRPr="00FD0F73" w:rsidRDefault="00E151DB" w:rsidP="000E4C28">
      <w:pPr>
        <w:spacing w:after="0" w:line="240" w:lineRule="auto"/>
        <w:rPr>
          <w:rFonts w:ascii="Gill Sans MT" w:hAnsi="Gill Sans MT"/>
          <w:b/>
          <w:sz w:val="24"/>
          <w:szCs w:val="24"/>
        </w:rPr>
      </w:pPr>
      <w:r w:rsidRPr="00FD0F73">
        <w:rPr>
          <w:rFonts w:ascii="Gill Sans MT" w:hAnsi="Gill Sans MT"/>
          <w:b/>
          <w:sz w:val="24"/>
          <w:szCs w:val="24"/>
        </w:rPr>
        <w:t>For more information</w:t>
      </w:r>
    </w:p>
    <w:p w:rsidR="000E4C28" w:rsidRPr="00FD0F73" w:rsidRDefault="00E151DB" w:rsidP="000E4C28">
      <w:pPr>
        <w:spacing w:after="0" w:line="240" w:lineRule="auto"/>
        <w:rPr>
          <w:rFonts w:ascii="Gill Sans MT" w:hAnsi="Gill Sans MT"/>
          <w:sz w:val="24"/>
          <w:szCs w:val="24"/>
        </w:rPr>
      </w:pPr>
      <w:r w:rsidRPr="00FD0F73">
        <w:rPr>
          <w:rFonts w:ascii="Gill Sans MT" w:hAnsi="Gill Sans MT"/>
          <w:sz w:val="24"/>
          <w:szCs w:val="24"/>
        </w:rPr>
        <w:t>The following websites present examples</w:t>
      </w:r>
      <w:r w:rsidR="000E4C28" w:rsidRPr="00FD0F73">
        <w:rPr>
          <w:rFonts w:ascii="Gill Sans MT" w:hAnsi="Gill Sans MT"/>
          <w:sz w:val="24"/>
          <w:szCs w:val="24"/>
        </w:rPr>
        <w:t xml:space="preserve"> of</w:t>
      </w:r>
    </w:p>
    <w:p w:rsidR="00E151DB" w:rsidRPr="00FD0F73" w:rsidRDefault="000E4C28" w:rsidP="000E4C28">
      <w:pPr>
        <w:spacing w:line="480" w:lineRule="auto"/>
        <w:rPr>
          <w:rFonts w:ascii="Gill Sans MT" w:hAnsi="Gill Sans MT"/>
          <w:sz w:val="24"/>
          <w:szCs w:val="24"/>
        </w:rPr>
      </w:pPr>
      <w:r w:rsidRPr="00FD0F73">
        <w:rPr>
          <w:rFonts w:ascii="Gill Sans MT" w:hAnsi="Gill Sans MT"/>
          <w:sz w:val="24"/>
          <w:szCs w:val="24"/>
        </w:rPr>
        <w:t xml:space="preserve"> </w:t>
      </w:r>
      <w:r w:rsidR="00A1555B" w:rsidRPr="00FD0F73">
        <w:rPr>
          <w:rFonts w:ascii="Gill Sans MT" w:hAnsi="Gill Sans MT"/>
          <w:sz w:val="24"/>
          <w:szCs w:val="24"/>
        </w:rPr>
        <w:t>e</w:t>
      </w:r>
      <w:r w:rsidR="007E05AF" w:rsidRPr="00FD0F73">
        <w:rPr>
          <w:rFonts w:ascii="Gill Sans MT" w:hAnsi="Gill Sans MT"/>
          <w:sz w:val="24"/>
          <w:szCs w:val="24"/>
        </w:rPr>
        <w:t>vidence-</w:t>
      </w:r>
      <w:r w:rsidR="00E151DB" w:rsidRPr="00FD0F73">
        <w:rPr>
          <w:rFonts w:ascii="Gill Sans MT" w:hAnsi="Gill Sans MT"/>
          <w:sz w:val="24"/>
          <w:szCs w:val="24"/>
        </w:rPr>
        <w:t>based interventions</w:t>
      </w:r>
      <w:r w:rsidR="00F80EF2" w:rsidRPr="00FD0F73">
        <w:rPr>
          <w:rFonts w:ascii="Gill Sans MT" w:hAnsi="Gill Sans MT"/>
          <w:sz w:val="24"/>
          <w:szCs w:val="24"/>
        </w:rPr>
        <w:t>.</w:t>
      </w:r>
    </w:p>
    <w:p w:rsidR="00F80EF2" w:rsidRPr="00FD0F73" w:rsidRDefault="00F80EF2" w:rsidP="000E4C28">
      <w:pPr>
        <w:spacing w:after="0" w:line="240" w:lineRule="auto"/>
        <w:rPr>
          <w:rFonts w:ascii="Gill Sans MT" w:hAnsi="Gill Sans MT"/>
          <w:sz w:val="24"/>
          <w:szCs w:val="24"/>
        </w:rPr>
      </w:pPr>
      <w:r w:rsidRPr="00FD0F73">
        <w:rPr>
          <w:rFonts w:ascii="Gill Sans MT" w:hAnsi="Gill Sans MT"/>
          <w:sz w:val="24"/>
          <w:szCs w:val="24"/>
        </w:rPr>
        <w:t>What Works Clearinghouse</w:t>
      </w:r>
    </w:p>
    <w:p w:rsidR="00E151DB" w:rsidRPr="00FD0F73" w:rsidRDefault="00217541" w:rsidP="000E4C28">
      <w:pPr>
        <w:spacing w:line="480" w:lineRule="auto"/>
        <w:rPr>
          <w:rFonts w:ascii="Gill Sans MT" w:hAnsi="Gill Sans MT"/>
          <w:sz w:val="24"/>
          <w:szCs w:val="24"/>
        </w:rPr>
      </w:pPr>
      <w:hyperlink r:id="rId12" w:history="1">
        <w:r w:rsidR="00F80EF2" w:rsidRPr="00FD0F73">
          <w:rPr>
            <w:rStyle w:val="Hyperlink"/>
            <w:rFonts w:ascii="Gill Sans MT" w:hAnsi="Gill Sans MT"/>
            <w:sz w:val="24"/>
            <w:szCs w:val="24"/>
          </w:rPr>
          <w:t>http://ies.ed.gov/ncee/wwc/</w:t>
        </w:r>
      </w:hyperlink>
    </w:p>
    <w:p w:rsidR="00115929" w:rsidRPr="00FD0F73" w:rsidRDefault="00115929" w:rsidP="000E4C28">
      <w:pPr>
        <w:spacing w:after="0" w:line="240" w:lineRule="auto"/>
        <w:rPr>
          <w:rFonts w:ascii="Gill Sans MT" w:hAnsi="Gill Sans MT"/>
          <w:sz w:val="24"/>
          <w:szCs w:val="24"/>
        </w:rPr>
      </w:pPr>
      <w:r w:rsidRPr="00FD0F73">
        <w:rPr>
          <w:rFonts w:ascii="Gill Sans MT" w:hAnsi="Gill Sans MT"/>
          <w:sz w:val="24"/>
          <w:szCs w:val="24"/>
        </w:rPr>
        <w:t>Best Evidence Encyclopedia</w:t>
      </w:r>
    </w:p>
    <w:p w:rsidR="00115929" w:rsidRPr="00FD0F73" w:rsidRDefault="00217541" w:rsidP="000E4C28">
      <w:pPr>
        <w:spacing w:line="480" w:lineRule="auto"/>
        <w:rPr>
          <w:rFonts w:ascii="Gill Sans MT" w:hAnsi="Gill Sans MT"/>
          <w:sz w:val="24"/>
          <w:szCs w:val="24"/>
        </w:rPr>
      </w:pPr>
      <w:hyperlink r:id="rId13" w:history="1">
        <w:r w:rsidR="00115929" w:rsidRPr="00FD0F73">
          <w:rPr>
            <w:rStyle w:val="Hyperlink"/>
            <w:rFonts w:ascii="Gill Sans MT" w:hAnsi="Gill Sans MT"/>
            <w:sz w:val="24"/>
            <w:szCs w:val="24"/>
          </w:rPr>
          <w:t>http://www.bestevidence.org/</w:t>
        </w:r>
      </w:hyperlink>
    </w:p>
    <w:p w:rsidR="004F30CD" w:rsidRPr="00FD0F73" w:rsidRDefault="004F30CD" w:rsidP="000E4C28">
      <w:pPr>
        <w:spacing w:after="0" w:line="240" w:lineRule="auto"/>
        <w:rPr>
          <w:rFonts w:ascii="Gill Sans MT" w:hAnsi="Gill Sans MT"/>
          <w:sz w:val="24"/>
          <w:szCs w:val="24"/>
        </w:rPr>
      </w:pPr>
      <w:r w:rsidRPr="00FD0F73">
        <w:rPr>
          <w:rFonts w:ascii="Gill Sans MT" w:hAnsi="Gill Sans MT"/>
          <w:sz w:val="24"/>
          <w:szCs w:val="24"/>
        </w:rPr>
        <w:t>National Center on RTI</w:t>
      </w:r>
    </w:p>
    <w:p w:rsidR="004F30CD" w:rsidRPr="00FD0F73" w:rsidRDefault="00217541" w:rsidP="000E4C28">
      <w:pPr>
        <w:spacing w:line="480" w:lineRule="auto"/>
        <w:rPr>
          <w:rFonts w:ascii="Gill Sans MT" w:hAnsi="Gill Sans MT"/>
          <w:sz w:val="24"/>
          <w:szCs w:val="24"/>
        </w:rPr>
      </w:pPr>
      <w:hyperlink r:id="rId14" w:history="1">
        <w:r w:rsidR="004F30CD" w:rsidRPr="00FD0F73">
          <w:rPr>
            <w:rStyle w:val="Hyperlink"/>
            <w:rFonts w:ascii="Gill Sans MT" w:hAnsi="Gill Sans MT"/>
            <w:sz w:val="24"/>
            <w:szCs w:val="24"/>
          </w:rPr>
          <w:t>http://www.rti4success.org/</w:t>
        </w:r>
      </w:hyperlink>
    </w:p>
    <w:p w:rsidR="004F30CD" w:rsidRPr="00FD0F73" w:rsidRDefault="004F30CD" w:rsidP="000E4C28">
      <w:pPr>
        <w:spacing w:after="0" w:line="240" w:lineRule="auto"/>
        <w:rPr>
          <w:rFonts w:ascii="Gill Sans MT" w:hAnsi="Gill Sans MT"/>
          <w:sz w:val="24"/>
          <w:szCs w:val="24"/>
        </w:rPr>
      </w:pPr>
      <w:r w:rsidRPr="00FD0F73">
        <w:rPr>
          <w:rFonts w:ascii="Gill Sans MT" w:hAnsi="Gill Sans MT"/>
          <w:sz w:val="24"/>
          <w:szCs w:val="24"/>
        </w:rPr>
        <w:t>National Center on Intensive Intervention</w:t>
      </w:r>
    </w:p>
    <w:p w:rsidR="004F30CD" w:rsidRDefault="00217541" w:rsidP="000E4C28">
      <w:pPr>
        <w:spacing w:line="480" w:lineRule="auto"/>
      </w:pPr>
      <w:hyperlink r:id="rId15" w:history="1">
        <w:r w:rsidR="004F30CD" w:rsidRPr="00FD0F73">
          <w:rPr>
            <w:rStyle w:val="Hyperlink"/>
            <w:rFonts w:ascii="Gill Sans MT" w:hAnsi="Gill Sans MT"/>
            <w:sz w:val="24"/>
            <w:szCs w:val="24"/>
          </w:rPr>
          <w:t>http://www.intensiveintervention.org/</w:t>
        </w:r>
      </w:hyperlink>
    </w:p>
    <w:p w:rsidR="00C63DAA" w:rsidRDefault="00C63DAA" w:rsidP="00C63DAA">
      <w:pPr>
        <w:spacing w:after="0" w:line="240" w:lineRule="auto"/>
        <w:rPr>
          <w:rFonts w:ascii="Gill Sans MT" w:hAnsi="Gill Sans MT"/>
        </w:rPr>
      </w:pPr>
      <w:r>
        <w:rPr>
          <w:rFonts w:ascii="Gill Sans MT" w:hAnsi="Gill Sans MT"/>
        </w:rPr>
        <w:t>Evidence Based Intervention Network</w:t>
      </w:r>
    </w:p>
    <w:p w:rsidR="00C63DAA" w:rsidRDefault="00217541" w:rsidP="000E4C28">
      <w:pPr>
        <w:spacing w:line="480" w:lineRule="auto"/>
        <w:rPr>
          <w:rFonts w:ascii="Gill Sans MT" w:hAnsi="Gill Sans MT"/>
        </w:rPr>
      </w:pPr>
      <w:hyperlink r:id="rId16" w:history="1">
        <w:r w:rsidR="00C63DAA" w:rsidRPr="001D4E9A">
          <w:rPr>
            <w:rStyle w:val="Hyperlink"/>
            <w:rFonts w:ascii="Gill Sans MT" w:hAnsi="Gill Sans MT"/>
          </w:rPr>
          <w:t>http://ebi.missouri.edu/</w:t>
        </w:r>
      </w:hyperlink>
    </w:p>
    <w:p w:rsidR="00C63DAA" w:rsidRDefault="006B5CC6" w:rsidP="006B5CC6">
      <w:pPr>
        <w:spacing w:after="0" w:line="240" w:lineRule="auto"/>
        <w:rPr>
          <w:rFonts w:ascii="Gill Sans MT" w:hAnsi="Gill Sans MT"/>
        </w:rPr>
      </w:pPr>
      <w:r>
        <w:rPr>
          <w:rFonts w:ascii="Gill Sans MT" w:hAnsi="Gill Sans MT"/>
        </w:rPr>
        <w:t xml:space="preserve">Intervention Central </w:t>
      </w:r>
    </w:p>
    <w:p w:rsidR="00C63DAA" w:rsidRPr="006B5CC6" w:rsidRDefault="00217541" w:rsidP="006B5CC6">
      <w:pPr>
        <w:spacing w:line="480" w:lineRule="auto"/>
        <w:rPr>
          <w:rFonts w:ascii="Gill Sans MT" w:hAnsi="Gill Sans MT"/>
        </w:rPr>
      </w:pPr>
      <w:hyperlink r:id="rId17" w:history="1">
        <w:r w:rsidR="006B5CC6" w:rsidRPr="001D4E9A">
          <w:rPr>
            <w:rStyle w:val="Hyperlink"/>
            <w:rFonts w:ascii="Gill Sans MT" w:hAnsi="Gill Sans MT"/>
          </w:rPr>
          <w:t>http://www.interventioncentral.org/</w:t>
        </w:r>
      </w:hyperlink>
      <w:r w:rsidR="006B5CC6">
        <w:rPr>
          <w:rFonts w:ascii="Gill Sans MT" w:hAnsi="Gill Sans MT"/>
        </w:rPr>
        <w:t xml:space="preserve"> </w:t>
      </w:r>
    </w:p>
    <w:p w:rsidR="006B5CC6" w:rsidRPr="006B5CC6" w:rsidRDefault="006B5CC6" w:rsidP="006B5CC6">
      <w:pPr>
        <w:spacing w:after="0" w:line="240" w:lineRule="auto"/>
        <w:jc w:val="both"/>
        <w:rPr>
          <w:rFonts w:ascii="Gill Sans MT" w:hAnsi="Gill Sans MT"/>
          <w:i/>
          <w:sz w:val="16"/>
          <w:szCs w:val="16"/>
        </w:rPr>
      </w:pPr>
    </w:p>
    <w:p w:rsidR="00DA1149" w:rsidRPr="00DA1149" w:rsidRDefault="00EA7B33" w:rsidP="00084F36">
      <w:pPr>
        <w:spacing w:before="240" w:after="0" w:line="480" w:lineRule="auto"/>
        <w:jc w:val="both"/>
        <w:rPr>
          <w:rFonts w:ascii="Gill Sans MT" w:hAnsi="Gill Sans MT"/>
          <w:i/>
          <w:sz w:val="24"/>
          <w:szCs w:val="24"/>
        </w:rPr>
      </w:pPr>
      <w:r>
        <w:rPr>
          <w:rFonts w:ascii="Gill Sans MT" w:hAnsi="Gill Sans MT"/>
          <w:i/>
          <w:sz w:val="24"/>
          <w:szCs w:val="24"/>
        </w:rPr>
        <w:t>What Are</w:t>
      </w:r>
      <w:r w:rsidR="00084F36">
        <w:rPr>
          <w:rFonts w:ascii="Gill Sans MT" w:hAnsi="Gill Sans MT"/>
          <w:i/>
          <w:sz w:val="24"/>
          <w:szCs w:val="24"/>
        </w:rPr>
        <w:t xml:space="preserve"> the </w:t>
      </w:r>
      <w:r w:rsidR="00442DB7">
        <w:rPr>
          <w:rFonts w:ascii="Gill Sans MT" w:hAnsi="Gill Sans MT"/>
          <w:i/>
          <w:sz w:val="24"/>
          <w:szCs w:val="24"/>
        </w:rPr>
        <w:t xml:space="preserve">Differences </w:t>
      </w:r>
      <w:r>
        <w:rPr>
          <w:rFonts w:ascii="Gill Sans MT" w:hAnsi="Gill Sans MT"/>
          <w:i/>
          <w:sz w:val="24"/>
          <w:szCs w:val="24"/>
        </w:rPr>
        <w:t>Between</w:t>
      </w:r>
      <w:r w:rsidR="00442DB7">
        <w:rPr>
          <w:rFonts w:ascii="Gill Sans MT" w:hAnsi="Gill Sans MT"/>
          <w:i/>
          <w:sz w:val="24"/>
          <w:szCs w:val="24"/>
        </w:rPr>
        <w:t xml:space="preserve"> </w:t>
      </w:r>
      <w:r w:rsidR="002C74F3">
        <w:rPr>
          <w:rFonts w:ascii="Gill Sans MT" w:hAnsi="Gill Sans MT"/>
          <w:i/>
          <w:sz w:val="24"/>
          <w:szCs w:val="24"/>
        </w:rPr>
        <w:t>GEI</w:t>
      </w:r>
      <w:r w:rsidR="00442DB7">
        <w:rPr>
          <w:rFonts w:ascii="Gill Sans MT" w:hAnsi="Gill Sans MT"/>
          <w:i/>
          <w:sz w:val="24"/>
          <w:szCs w:val="24"/>
        </w:rPr>
        <w:t>s and RTI</w:t>
      </w:r>
      <w:r w:rsidR="00084F36">
        <w:rPr>
          <w:rFonts w:ascii="Gill Sans MT" w:hAnsi="Gill Sans MT"/>
          <w:i/>
          <w:sz w:val="24"/>
          <w:szCs w:val="24"/>
        </w:rPr>
        <w:t>?</w:t>
      </w:r>
    </w:p>
    <w:p w:rsidR="00115929" w:rsidRDefault="00563243" w:rsidP="002A4D95">
      <w:pPr>
        <w:spacing w:line="480" w:lineRule="auto"/>
        <w:jc w:val="both"/>
        <w:rPr>
          <w:rFonts w:ascii="Gill Sans MT" w:hAnsi="Gill Sans MT"/>
          <w:sz w:val="24"/>
          <w:szCs w:val="24"/>
        </w:rPr>
      </w:pPr>
      <w:r>
        <w:rPr>
          <w:rFonts w:ascii="Gill Sans MT" w:hAnsi="Gill Sans MT"/>
          <w:sz w:val="24"/>
          <w:szCs w:val="24"/>
        </w:rPr>
        <w:tab/>
      </w:r>
      <w:r w:rsidR="00FB399C">
        <w:rPr>
          <w:rFonts w:ascii="Gill Sans MT" w:hAnsi="Gill Sans MT"/>
          <w:sz w:val="24"/>
          <w:szCs w:val="24"/>
        </w:rPr>
        <w:t xml:space="preserve">The purpose of this section is to raise awareness </w:t>
      </w:r>
      <w:r w:rsidR="00321D12">
        <w:rPr>
          <w:rFonts w:ascii="Gill Sans MT" w:hAnsi="Gill Sans MT"/>
          <w:sz w:val="24"/>
          <w:szCs w:val="24"/>
        </w:rPr>
        <w:t xml:space="preserve">of </w:t>
      </w:r>
      <w:r w:rsidR="00624639">
        <w:rPr>
          <w:rFonts w:ascii="Gill Sans MT" w:hAnsi="Gill Sans MT"/>
          <w:sz w:val="24"/>
          <w:szCs w:val="24"/>
        </w:rPr>
        <w:t>general education intervention</w:t>
      </w:r>
      <w:r w:rsidR="009F2673">
        <w:rPr>
          <w:rFonts w:ascii="Gill Sans MT" w:hAnsi="Gill Sans MT"/>
          <w:sz w:val="24"/>
          <w:szCs w:val="24"/>
        </w:rPr>
        <w:t xml:space="preserve"> (GEI)</w:t>
      </w:r>
      <w:r w:rsidR="00F30F4E">
        <w:rPr>
          <w:rFonts w:ascii="Gill Sans MT" w:hAnsi="Gill Sans MT"/>
          <w:sz w:val="24"/>
          <w:szCs w:val="24"/>
        </w:rPr>
        <w:t xml:space="preserve"> </w:t>
      </w:r>
      <w:r w:rsidR="00680B52">
        <w:rPr>
          <w:rFonts w:ascii="Gill Sans MT" w:hAnsi="Gill Sans MT"/>
          <w:sz w:val="24"/>
          <w:szCs w:val="24"/>
        </w:rPr>
        <w:t>in schools</w:t>
      </w:r>
      <w:r w:rsidR="00321D12">
        <w:rPr>
          <w:rFonts w:ascii="Gill Sans MT" w:hAnsi="Gill Sans MT"/>
          <w:sz w:val="24"/>
          <w:szCs w:val="24"/>
        </w:rPr>
        <w:t>, which according to Zirkel</w:t>
      </w:r>
      <w:r w:rsidR="009A5BBE">
        <w:rPr>
          <w:rFonts w:ascii="Gill Sans MT" w:hAnsi="Gill Sans MT"/>
          <w:sz w:val="24"/>
          <w:szCs w:val="24"/>
        </w:rPr>
        <w:t xml:space="preserve"> (2012)</w:t>
      </w:r>
      <w:r w:rsidR="00321D12">
        <w:rPr>
          <w:rFonts w:ascii="Gill Sans MT" w:hAnsi="Gill Sans MT"/>
          <w:sz w:val="24"/>
          <w:szCs w:val="24"/>
        </w:rPr>
        <w:t xml:space="preserve"> do</w:t>
      </w:r>
      <w:r w:rsidR="009A5BBE">
        <w:rPr>
          <w:rFonts w:ascii="Gill Sans MT" w:hAnsi="Gill Sans MT"/>
          <w:sz w:val="24"/>
          <w:szCs w:val="24"/>
        </w:rPr>
        <w:t>es</w:t>
      </w:r>
      <w:r w:rsidR="00321D12">
        <w:rPr>
          <w:rFonts w:ascii="Gill Sans MT" w:hAnsi="Gill Sans MT"/>
          <w:sz w:val="24"/>
          <w:szCs w:val="24"/>
        </w:rPr>
        <w:t xml:space="preserve"> not necessarily equate to RTI</w:t>
      </w:r>
      <w:r w:rsidR="00577D44">
        <w:rPr>
          <w:rFonts w:ascii="Gill Sans MT" w:hAnsi="Gill Sans MT"/>
          <w:sz w:val="24"/>
          <w:szCs w:val="24"/>
        </w:rPr>
        <w:t xml:space="preserve">. </w:t>
      </w:r>
      <w:r w:rsidR="005115B2">
        <w:rPr>
          <w:rFonts w:ascii="Gill Sans MT" w:hAnsi="Gill Sans MT"/>
          <w:sz w:val="24"/>
          <w:szCs w:val="24"/>
        </w:rPr>
        <w:t xml:space="preserve"> </w:t>
      </w:r>
      <w:r w:rsidR="0006087F">
        <w:rPr>
          <w:rFonts w:ascii="Gill Sans MT" w:hAnsi="Gill Sans MT"/>
          <w:sz w:val="24"/>
          <w:szCs w:val="24"/>
        </w:rPr>
        <w:t xml:space="preserve">As </w:t>
      </w:r>
      <w:r w:rsidR="00CC1AB4">
        <w:rPr>
          <w:rFonts w:ascii="Gill Sans MT" w:hAnsi="Gill Sans MT"/>
          <w:sz w:val="24"/>
          <w:szCs w:val="24"/>
        </w:rPr>
        <w:t xml:space="preserve">specifically </w:t>
      </w:r>
      <w:r w:rsidR="0006087F">
        <w:rPr>
          <w:rFonts w:ascii="Gill Sans MT" w:hAnsi="Gill Sans MT"/>
          <w:sz w:val="24"/>
          <w:szCs w:val="24"/>
        </w:rPr>
        <w:t>noted by Zirkel</w:t>
      </w:r>
      <w:r w:rsidR="00732A7D">
        <w:rPr>
          <w:rFonts w:ascii="Gill Sans MT" w:hAnsi="Gill Sans MT"/>
          <w:sz w:val="24"/>
          <w:szCs w:val="24"/>
        </w:rPr>
        <w:t xml:space="preserve">, RTI in the IDEA should not be confused with “the more generic, long-standing practice of general education interventions (GEIs).” GEIs include student </w:t>
      </w:r>
      <w:r w:rsidR="00732A7D">
        <w:rPr>
          <w:rFonts w:ascii="Gill Sans MT" w:hAnsi="Gill Sans MT"/>
          <w:sz w:val="24"/>
          <w:szCs w:val="24"/>
        </w:rPr>
        <w:lastRenderedPageBreak/>
        <w:t>assistance teams and teacher support te</w:t>
      </w:r>
      <w:r w:rsidR="006E1D58">
        <w:rPr>
          <w:rFonts w:ascii="Gill Sans MT" w:hAnsi="Gill Sans MT"/>
          <w:sz w:val="24"/>
          <w:szCs w:val="24"/>
        </w:rPr>
        <w:t xml:space="preserve">ams (“problem solving teams”). </w:t>
      </w:r>
      <w:r w:rsidR="00F30F4E">
        <w:rPr>
          <w:rFonts w:ascii="Gill Sans MT" w:hAnsi="Gill Sans MT"/>
          <w:sz w:val="24"/>
          <w:szCs w:val="24"/>
        </w:rPr>
        <w:t xml:space="preserve">Perry Zirkel, a university professor of education and law at Lehigh University, explains why GEIs are </w:t>
      </w:r>
      <w:r w:rsidR="00E62F84">
        <w:rPr>
          <w:rFonts w:ascii="Gill Sans MT" w:hAnsi="Gill Sans MT"/>
          <w:sz w:val="24"/>
          <w:szCs w:val="24"/>
        </w:rPr>
        <w:t xml:space="preserve">legally not equivalent to RTI. </w:t>
      </w:r>
      <w:r w:rsidR="00C031DF">
        <w:rPr>
          <w:rFonts w:ascii="Gill Sans MT" w:hAnsi="Gill Sans MT"/>
          <w:sz w:val="24"/>
          <w:szCs w:val="24"/>
        </w:rPr>
        <w:t>In his article “The Legal Dimension of RTI</w:t>
      </w:r>
      <w:r w:rsidR="004D0632">
        <w:rPr>
          <w:rFonts w:ascii="Gill Sans MT" w:hAnsi="Gill Sans MT"/>
          <w:sz w:val="24"/>
          <w:szCs w:val="24"/>
        </w:rPr>
        <w:t xml:space="preserve">—Confusion </w:t>
      </w:r>
      <w:r w:rsidR="00C031DF">
        <w:rPr>
          <w:rFonts w:ascii="Gill Sans MT" w:hAnsi="Gill Sans MT"/>
          <w:sz w:val="24"/>
          <w:szCs w:val="24"/>
        </w:rPr>
        <w:t xml:space="preserve">Confirmed: A Response to Walker and Daves,” Zirkel contends that “the IDEA recognizes only RTI for </w:t>
      </w:r>
      <w:r w:rsidR="00C4712E">
        <w:rPr>
          <w:rFonts w:ascii="Gill Sans MT" w:hAnsi="Gill Sans MT"/>
          <w:sz w:val="24"/>
          <w:szCs w:val="24"/>
        </w:rPr>
        <w:t xml:space="preserve">SLD identification and that GEI does not equate to RTI.” </w:t>
      </w:r>
      <w:r w:rsidR="000B23F7">
        <w:rPr>
          <w:rFonts w:ascii="Gill Sans MT" w:hAnsi="Gill Sans MT"/>
          <w:sz w:val="24"/>
          <w:szCs w:val="24"/>
        </w:rPr>
        <w:t xml:space="preserve"> </w:t>
      </w:r>
      <w:r w:rsidR="00557D53">
        <w:rPr>
          <w:rFonts w:ascii="Gill Sans MT" w:hAnsi="Gill Sans MT"/>
          <w:sz w:val="24"/>
          <w:szCs w:val="24"/>
        </w:rPr>
        <w:t>Zirkel opines that “the GEI variations do not provide for research-based instruction and continuous progress monitoring, particularly at the first tier.”  Similarly, he also opines that “they are not a multi-tiered process with at least a third tier, which is the minimum in both the law and the literature.”  This is a point or premise which remains un</w:t>
      </w:r>
      <w:r w:rsidR="0002703B">
        <w:rPr>
          <w:rFonts w:ascii="Gill Sans MT" w:hAnsi="Gill Sans MT"/>
          <w:sz w:val="24"/>
          <w:szCs w:val="24"/>
        </w:rPr>
        <w:t>-</w:t>
      </w:r>
      <w:r w:rsidR="00557D53">
        <w:rPr>
          <w:rFonts w:ascii="Gill Sans MT" w:hAnsi="Gill Sans MT"/>
          <w:sz w:val="24"/>
          <w:szCs w:val="24"/>
        </w:rPr>
        <w:t xml:space="preserve">rebutted (Zirkel, 2012).  </w:t>
      </w:r>
    </w:p>
    <w:p w:rsidR="00F80EF2" w:rsidRDefault="003729BC" w:rsidP="002A4D95">
      <w:pPr>
        <w:spacing w:line="480" w:lineRule="auto"/>
        <w:jc w:val="both"/>
        <w:rPr>
          <w:rFonts w:ascii="Gill Sans MT" w:hAnsi="Gill Sans MT"/>
          <w:sz w:val="24"/>
          <w:szCs w:val="24"/>
        </w:rPr>
      </w:pPr>
      <w:r>
        <w:rPr>
          <w:rFonts w:ascii="Gill Sans MT" w:hAnsi="Gill Sans MT"/>
          <w:sz w:val="24"/>
          <w:szCs w:val="24"/>
        </w:rPr>
        <w:t>References</w:t>
      </w:r>
    </w:p>
    <w:p w:rsidR="00604F86" w:rsidRDefault="00604F86" w:rsidP="00E14783">
      <w:pPr>
        <w:spacing w:line="240" w:lineRule="auto"/>
        <w:ind w:left="720" w:hanging="720"/>
        <w:jc w:val="both"/>
        <w:rPr>
          <w:rFonts w:ascii="Gill Sans MT" w:hAnsi="Gill Sans MT"/>
          <w:sz w:val="24"/>
          <w:szCs w:val="24"/>
        </w:rPr>
      </w:pPr>
      <w:r>
        <w:rPr>
          <w:rFonts w:ascii="Gill Sans MT" w:hAnsi="Gill Sans MT"/>
          <w:sz w:val="24"/>
          <w:szCs w:val="24"/>
        </w:rPr>
        <w:t>Kamei-Hannan</w:t>
      </w:r>
      <w:r w:rsidR="00E14783">
        <w:rPr>
          <w:rFonts w:ascii="Gill Sans MT" w:hAnsi="Gill Sans MT"/>
          <w:sz w:val="24"/>
          <w:szCs w:val="24"/>
        </w:rPr>
        <w:t xml:space="preserve">, C., Holbrook, M.C., Ricci, L.A. (2012). Applying a response-to-intervention model to literacy instruction for students who are blind or have low vision. </w:t>
      </w:r>
      <w:r w:rsidR="00E14783">
        <w:rPr>
          <w:rFonts w:ascii="Gill Sans MT" w:hAnsi="Gill Sans MT"/>
          <w:i/>
          <w:sz w:val="24"/>
          <w:szCs w:val="24"/>
        </w:rPr>
        <w:t>Journal of Visual Impairment &amp; Blindness, 106</w:t>
      </w:r>
      <w:r w:rsidR="00E14783">
        <w:rPr>
          <w:rFonts w:ascii="Gill Sans MT" w:hAnsi="Gill Sans MT"/>
          <w:sz w:val="24"/>
          <w:szCs w:val="24"/>
        </w:rPr>
        <w:t>(2), 69-80.</w:t>
      </w:r>
    </w:p>
    <w:p w:rsidR="00604F86" w:rsidRDefault="003729BC" w:rsidP="00436F76">
      <w:pPr>
        <w:spacing w:line="240" w:lineRule="auto"/>
        <w:ind w:left="720" w:hanging="720"/>
        <w:jc w:val="both"/>
        <w:rPr>
          <w:rFonts w:ascii="Gill Sans MT" w:hAnsi="Gill Sans MT"/>
          <w:sz w:val="24"/>
          <w:szCs w:val="24"/>
        </w:rPr>
      </w:pPr>
      <w:r>
        <w:rPr>
          <w:rFonts w:ascii="Gill Sans MT" w:hAnsi="Gill Sans MT"/>
          <w:sz w:val="24"/>
          <w:szCs w:val="24"/>
        </w:rPr>
        <w:t>McMaster, K.L., Fuchs, D., Fuchs, L.S., Compton, D.L. (2005). Responding to nonresponders: an experimental field t</w:t>
      </w:r>
      <w:r w:rsidR="00436F76">
        <w:rPr>
          <w:rFonts w:ascii="Gill Sans MT" w:hAnsi="Gill Sans MT"/>
          <w:sz w:val="24"/>
          <w:szCs w:val="24"/>
        </w:rPr>
        <w:t>r</w:t>
      </w:r>
      <w:r>
        <w:rPr>
          <w:rFonts w:ascii="Gill Sans MT" w:hAnsi="Gill Sans MT"/>
          <w:sz w:val="24"/>
          <w:szCs w:val="24"/>
        </w:rPr>
        <w:t xml:space="preserve">ial of identification and intervention methods. </w:t>
      </w:r>
      <w:r w:rsidR="00436F76">
        <w:rPr>
          <w:rFonts w:ascii="Gill Sans MT" w:hAnsi="Gill Sans MT"/>
          <w:i/>
          <w:sz w:val="24"/>
          <w:szCs w:val="24"/>
        </w:rPr>
        <w:t>Exceptional Children, 71</w:t>
      </w:r>
      <w:r w:rsidR="00436F76">
        <w:rPr>
          <w:rFonts w:ascii="Gill Sans MT" w:hAnsi="Gill Sans MT"/>
          <w:sz w:val="24"/>
          <w:szCs w:val="24"/>
        </w:rPr>
        <w:t>(4), 445-463</w:t>
      </w:r>
      <w:r w:rsidR="001C4D2D">
        <w:rPr>
          <w:rFonts w:ascii="Gill Sans MT" w:hAnsi="Gill Sans MT"/>
          <w:sz w:val="24"/>
          <w:szCs w:val="24"/>
        </w:rPr>
        <w:t>.</w:t>
      </w:r>
    </w:p>
    <w:p w:rsidR="001C4D2D" w:rsidRPr="0033388B" w:rsidRDefault="0033388B" w:rsidP="00436F76">
      <w:pPr>
        <w:spacing w:line="240" w:lineRule="auto"/>
        <w:ind w:left="720" w:hanging="720"/>
        <w:jc w:val="both"/>
        <w:rPr>
          <w:rFonts w:ascii="Gill Sans MT" w:hAnsi="Gill Sans MT"/>
          <w:sz w:val="24"/>
          <w:szCs w:val="24"/>
        </w:rPr>
      </w:pPr>
      <w:r>
        <w:rPr>
          <w:rFonts w:ascii="Gill Sans MT" w:hAnsi="Gill Sans MT"/>
          <w:sz w:val="24"/>
          <w:szCs w:val="24"/>
        </w:rPr>
        <w:t>Zirkel, P.A. (2012).</w:t>
      </w:r>
      <w:r w:rsidR="001540F5">
        <w:rPr>
          <w:rFonts w:ascii="Gill Sans MT" w:hAnsi="Gill Sans MT"/>
          <w:sz w:val="24"/>
          <w:szCs w:val="24"/>
        </w:rPr>
        <w:t xml:space="preserve"> </w:t>
      </w:r>
      <w:r>
        <w:rPr>
          <w:rFonts w:ascii="Gill Sans MT" w:hAnsi="Gill Sans MT"/>
          <w:sz w:val="24"/>
          <w:szCs w:val="24"/>
        </w:rPr>
        <w:t>The Legal Dimensions of RTI—Confusion Confirmed:</w:t>
      </w:r>
      <w:r w:rsidR="00A262EE">
        <w:rPr>
          <w:rFonts w:ascii="Gill Sans MT" w:hAnsi="Gill Sans MT"/>
          <w:sz w:val="24"/>
          <w:szCs w:val="24"/>
        </w:rPr>
        <w:t xml:space="preserve"> </w:t>
      </w:r>
      <w:r>
        <w:rPr>
          <w:rFonts w:ascii="Gill Sans MT" w:hAnsi="Gill Sans MT"/>
          <w:sz w:val="24"/>
          <w:szCs w:val="24"/>
        </w:rPr>
        <w:t xml:space="preserve">A Response to Walker and Daves. </w:t>
      </w:r>
      <w:r>
        <w:rPr>
          <w:rFonts w:ascii="Gill Sans MT" w:hAnsi="Gill Sans MT"/>
          <w:i/>
          <w:sz w:val="24"/>
          <w:szCs w:val="24"/>
        </w:rPr>
        <w:t>Learning Disability Quarterly, 35</w:t>
      </w:r>
      <w:r>
        <w:rPr>
          <w:rFonts w:ascii="Gill Sans MT" w:hAnsi="Gill Sans MT"/>
          <w:sz w:val="24"/>
          <w:szCs w:val="24"/>
        </w:rPr>
        <w:t>(2), 72-75.</w:t>
      </w:r>
    </w:p>
    <w:p w:rsidR="003729BC" w:rsidRPr="00436F76" w:rsidRDefault="003729BC" w:rsidP="00436F76">
      <w:pPr>
        <w:spacing w:line="240" w:lineRule="auto"/>
        <w:ind w:left="720" w:hanging="720"/>
        <w:jc w:val="both"/>
        <w:rPr>
          <w:rFonts w:ascii="Gill Sans MT" w:hAnsi="Gill Sans MT"/>
          <w:sz w:val="24"/>
          <w:szCs w:val="24"/>
        </w:rPr>
      </w:pPr>
    </w:p>
    <w:sectPr w:rsidR="003729BC" w:rsidRPr="00436F76" w:rsidSect="00A9254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E0" w:rsidRDefault="00B261E0" w:rsidP="00183DCB">
      <w:pPr>
        <w:spacing w:after="0" w:line="240" w:lineRule="auto"/>
      </w:pPr>
      <w:r>
        <w:separator/>
      </w:r>
    </w:p>
  </w:endnote>
  <w:endnote w:type="continuationSeparator" w:id="0">
    <w:p w:rsidR="00B261E0" w:rsidRDefault="00B261E0" w:rsidP="0018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4772513"/>
      <w:docPartObj>
        <w:docPartGallery w:val="Page Numbers (Bottom of Page)"/>
        <w:docPartUnique/>
      </w:docPartObj>
    </w:sdtPr>
    <w:sdtEndPr/>
    <w:sdtContent>
      <w:sdt>
        <w:sdtPr>
          <w:rPr>
            <w:rFonts w:ascii="Gill Sans MT" w:hAnsi="Gill Sans MT"/>
          </w:rPr>
          <w:id w:val="565050477"/>
          <w:docPartObj>
            <w:docPartGallery w:val="Page Numbers (Top of Page)"/>
            <w:docPartUnique/>
          </w:docPartObj>
        </w:sdtPr>
        <w:sdtEndPr/>
        <w:sdtContent>
          <w:p w:rsidR="00873156" w:rsidRPr="00183DCB" w:rsidRDefault="00873156">
            <w:pPr>
              <w:pStyle w:val="Footer"/>
              <w:jc w:val="center"/>
              <w:rPr>
                <w:rFonts w:ascii="Gill Sans MT" w:hAnsi="Gill Sans MT"/>
              </w:rPr>
            </w:pPr>
            <w:r w:rsidRPr="00183DCB">
              <w:rPr>
                <w:rFonts w:ascii="Gill Sans MT" w:hAnsi="Gill Sans MT"/>
              </w:rPr>
              <w:t xml:space="preserve">Page </w:t>
            </w:r>
            <w:r w:rsidR="006A7938" w:rsidRPr="00183DCB">
              <w:rPr>
                <w:rFonts w:ascii="Gill Sans MT" w:hAnsi="Gill Sans MT"/>
                <w:b/>
                <w:sz w:val="24"/>
                <w:szCs w:val="24"/>
              </w:rPr>
              <w:fldChar w:fldCharType="begin"/>
            </w:r>
            <w:r w:rsidRPr="00183DCB">
              <w:rPr>
                <w:rFonts w:ascii="Gill Sans MT" w:hAnsi="Gill Sans MT"/>
                <w:b/>
              </w:rPr>
              <w:instrText xml:space="preserve"> PAGE </w:instrText>
            </w:r>
            <w:r w:rsidR="006A7938" w:rsidRPr="00183DCB">
              <w:rPr>
                <w:rFonts w:ascii="Gill Sans MT" w:hAnsi="Gill Sans MT"/>
                <w:b/>
                <w:sz w:val="24"/>
                <w:szCs w:val="24"/>
              </w:rPr>
              <w:fldChar w:fldCharType="separate"/>
            </w:r>
            <w:r w:rsidR="00217541">
              <w:rPr>
                <w:rFonts w:ascii="Gill Sans MT" w:hAnsi="Gill Sans MT"/>
                <w:b/>
                <w:noProof/>
              </w:rPr>
              <w:t>2</w:t>
            </w:r>
            <w:r w:rsidR="006A7938" w:rsidRPr="00183DCB">
              <w:rPr>
                <w:rFonts w:ascii="Gill Sans MT" w:hAnsi="Gill Sans MT"/>
                <w:b/>
                <w:sz w:val="24"/>
                <w:szCs w:val="24"/>
              </w:rPr>
              <w:fldChar w:fldCharType="end"/>
            </w:r>
            <w:r w:rsidRPr="00183DCB">
              <w:rPr>
                <w:rFonts w:ascii="Gill Sans MT" w:hAnsi="Gill Sans MT"/>
              </w:rPr>
              <w:t xml:space="preserve"> of </w:t>
            </w:r>
            <w:r w:rsidR="006A7938" w:rsidRPr="00183DCB">
              <w:rPr>
                <w:rFonts w:ascii="Gill Sans MT" w:hAnsi="Gill Sans MT"/>
                <w:b/>
                <w:sz w:val="24"/>
                <w:szCs w:val="24"/>
              </w:rPr>
              <w:fldChar w:fldCharType="begin"/>
            </w:r>
            <w:r w:rsidRPr="00183DCB">
              <w:rPr>
                <w:rFonts w:ascii="Gill Sans MT" w:hAnsi="Gill Sans MT"/>
                <w:b/>
              </w:rPr>
              <w:instrText xml:space="preserve"> NUMPAGES  </w:instrText>
            </w:r>
            <w:r w:rsidR="006A7938" w:rsidRPr="00183DCB">
              <w:rPr>
                <w:rFonts w:ascii="Gill Sans MT" w:hAnsi="Gill Sans MT"/>
                <w:b/>
                <w:sz w:val="24"/>
                <w:szCs w:val="24"/>
              </w:rPr>
              <w:fldChar w:fldCharType="separate"/>
            </w:r>
            <w:r w:rsidR="00217541">
              <w:rPr>
                <w:rFonts w:ascii="Gill Sans MT" w:hAnsi="Gill Sans MT"/>
                <w:b/>
                <w:noProof/>
              </w:rPr>
              <w:t>5</w:t>
            </w:r>
            <w:r w:rsidR="006A7938" w:rsidRPr="00183DCB">
              <w:rPr>
                <w:rFonts w:ascii="Gill Sans MT" w:hAnsi="Gill Sans MT"/>
                <w:b/>
                <w:sz w:val="24"/>
                <w:szCs w:val="24"/>
              </w:rPr>
              <w:fldChar w:fldCharType="end"/>
            </w:r>
          </w:p>
        </w:sdtContent>
      </w:sdt>
    </w:sdtContent>
  </w:sdt>
  <w:p w:rsidR="00873156" w:rsidRDefault="0087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E0" w:rsidRDefault="00B261E0" w:rsidP="00183DCB">
      <w:pPr>
        <w:spacing w:after="0" w:line="240" w:lineRule="auto"/>
      </w:pPr>
      <w:r>
        <w:separator/>
      </w:r>
    </w:p>
  </w:footnote>
  <w:footnote w:type="continuationSeparator" w:id="0">
    <w:p w:rsidR="00B261E0" w:rsidRDefault="00B261E0" w:rsidP="0018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b/>
        <w:bCs/>
        <w:color w:val="1F497D" w:themeColor="text2"/>
        <w:sz w:val="28"/>
        <w:szCs w:val="28"/>
      </w:rPr>
      <w:alias w:val="Title"/>
      <w:id w:val="77807649"/>
      <w:placeholder>
        <w:docPart w:val="BA5F6B017F6843F7821C46F842E1FB33"/>
      </w:placeholder>
      <w:dataBinding w:prefixMappings="xmlns:ns0='http://schemas.openxmlformats.org/package/2006/metadata/core-properties' xmlns:ns1='http://purl.org/dc/elements/1.1/'" w:xpath="/ns0:coreProperties[1]/ns1:title[1]" w:storeItemID="{6C3C8BC8-F283-45AE-878A-BAB7291924A1}"/>
      <w:text/>
    </w:sdtPr>
    <w:sdtEndPr/>
    <w:sdtContent>
      <w:p w:rsidR="00873156" w:rsidRPr="00183DCB" w:rsidRDefault="00873156">
        <w:pPr>
          <w:pStyle w:val="Header"/>
          <w:tabs>
            <w:tab w:val="left" w:pos="2580"/>
            <w:tab w:val="left" w:pos="2985"/>
          </w:tabs>
          <w:spacing w:after="120" w:line="276" w:lineRule="auto"/>
          <w:rPr>
            <w:rFonts w:ascii="Gill Sans MT" w:hAnsi="Gill Sans MT"/>
            <w:b/>
            <w:bCs/>
            <w:color w:val="1F497D" w:themeColor="text2"/>
            <w:sz w:val="28"/>
            <w:szCs w:val="28"/>
          </w:rPr>
        </w:pPr>
        <w:r w:rsidRPr="00183DCB">
          <w:rPr>
            <w:rFonts w:ascii="Gill Sans MT" w:hAnsi="Gill Sans MT"/>
            <w:b/>
            <w:bCs/>
            <w:color w:val="1F497D" w:themeColor="text2"/>
            <w:sz w:val="28"/>
            <w:szCs w:val="28"/>
          </w:rPr>
          <w:t>Response to Intervention</w:t>
        </w:r>
        <w:r w:rsidR="001A634A">
          <w:rPr>
            <w:rFonts w:ascii="Gill Sans MT" w:hAnsi="Gill Sans MT"/>
            <w:b/>
            <w:bCs/>
            <w:color w:val="1F497D" w:themeColor="text2"/>
            <w:sz w:val="28"/>
            <w:szCs w:val="28"/>
          </w:rPr>
          <w:t xml:space="preserve"> (RTI)</w:t>
        </w:r>
        <w:r w:rsidR="009443DE">
          <w:rPr>
            <w:rFonts w:ascii="Gill Sans MT" w:hAnsi="Gill Sans MT"/>
            <w:b/>
            <w:bCs/>
            <w:color w:val="1F497D" w:themeColor="text2"/>
            <w:sz w:val="28"/>
            <w:szCs w:val="28"/>
          </w:rPr>
          <w:t xml:space="preserve">: </w:t>
        </w:r>
        <w:r w:rsidR="0029624D">
          <w:rPr>
            <w:rFonts w:ascii="Gill Sans MT" w:hAnsi="Gill Sans MT"/>
            <w:b/>
            <w:bCs/>
            <w:color w:val="1F497D" w:themeColor="text2"/>
            <w:sz w:val="28"/>
            <w:szCs w:val="28"/>
          </w:rPr>
          <w:t>Overview</w:t>
        </w:r>
        <w:r w:rsidR="009443DE">
          <w:rPr>
            <w:rFonts w:ascii="Gill Sans MT" w:hAnsi="Gill Sans MT"/>
            <w:b/>
            <w:bCs/>
            <w:color w:val="1F497D" w:themeColor="text2"/>
            <w:sz w:val="28"/>
            <w:szCs w:val="28"/>
          </w:rPr>
          <w:t xml:space="preserve"> for Parents</w:t>
        </w:r>
      </w:p>
    </w:sdtContent>
  </w:sdt>
  <w:sdt>
    <w:sdtPr>
      <w:rPr>
        <w:rFonts w:ascii="Gill Sans MT" w:hAnsi="Gill Sans MT"/>
        <w:b/>
        <w:color w:val="4F81BD" w:themeColor="accent1"/>
      </w:rPr>
      <w:alias w:val="Subtitle"/>
      <w:id w:val="77807653"/>
      <w:placeholder>
        <w:docPart w:val="86F98EC44D2A408EB80F66BCBF8B2172"/>
      </w:placeholder>
      <w:dataBinding w:prefixMappings="xmlns:ns0='http://schemas.openxmlformats.org/package/2006/metadata/core-properties' xmlns:ns1='http://purl.org/dc/elements/1.1/'" w:xpath="/ns0:coreProperties[1]/ns1:subject[1]" w:storeItemID="{6C3C8BC8-F283-45AE-878A-BAB7291924A1}"/>
      <w:text/>
    </w:sdtPr>
    <w:sdtEndPr/>
    <w:sdtContent>
      <w:p w:rsidR="00873156" w:rsidRDefault="007062AD">
        <w:pPr>
          <w:pStyle w:val="Header"/>
          <w:tabs>
            <w:tab w:val="left" w:pos="2580"/>
            <w:tab w:val="left" w:pos="2985"/>
          </w:tabs>
          <w:spacing w:after="120" w:line="276" w:lineRule="auto"/>
          <w:rPr>
            <w:color w:val="4F81BD" w:themeColor="accent1"/>
          </w:rPr>
        </w:pPr>
        <w:r w:rsidRPr="00555887">
          <w:rPr>
            <w:rFonts w:ascii="Gill Sans MT" w:hAnsi="Gill Sans MT"/>
            <w:b/>
            <w:color w:val="4F81BD" w:themeColor="accent1"/>
          </w:rPr>
          <w:t>Distinctions between GEIs and RTI</w:t>
        </w:r>
      </w:p>
    </w:sdtContent>
  </w:sdt>
  <w:sdt>
    <w:sdtPr>
      <w:rPr>
        <w:rFonts w:ascii="Gill Sans MT" w:hAnsi="Gill Sans MT"/>
        <w:b/>
        <w:color w:val="808080" w:themeColor="text1" w:themeTint="7F"/>
      </w:rPr>
      <w:alias w:val="Author"/>
      <w:id w:val="77807658"/>
      <w:placeholder>
        <w:docPart w:val="3A5449520BB8484DA032ADEDDA78BBB5"/>
      </w:placeholder>
      <w:dataBinding w:prefixMappings="xmlns:ns0='http://schemas.openxmlformats.org/package/2006/metadata/core-properties' xmlns:ns1='http://purl.org/dc/elements/1.1/'" w:xpath="/ns0:coreProperties[1]/ns1:creator[1]" w:storeItemID="{6C3C8BC8-F283-45AE-878A-BAB7291924A1}"/>
      <w:text/>
    </w:sdtPr>
    <w:sdtEndPr/>
    <w:sdtContent>
      <w:p w:rsidR="00873156" w:rsidRDefault="007062AD">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sidRPr="00555887">
          <w:rPr>
            <w:rFonts w:ascii="Gill Sans MT" w:hAnsi="Gill Sans MT"/>
            <w:b/>
            <w:color w:val="808080" w:themeColor="text1" w:themeTint="7F"/>
          </w:rPr>
          <w:t xml:space="preserve">Laura Darrow - </w:t>
        </w:r>
        <w:r w:rsidR="00873156" w:rsidRPr="00555887">
          <w:rPr>
            <w:rFonts w:ascii="Gill Sans MT" w:hAnsi="Gill Sans MT"/>
            <w:b/>
            <w:color w:val="808080" w:themeColor="text1" w:themeTint="7F"/>
          </w:rPr>
          <w:t>November 25, 2012</w:t>
        </w:r>
      </w:p>
    </w:sdtContent>
  </w:sdt>
  <w:p w:rsidR="00873156" w:rsidRDefault="00873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49"/>
    <w:rsid w:val="00017C8D"/>
    <w:rsid w:val="0002703B"/>
    <w:rsid w:val="00057D1F"/>
    <w:rsid w:val="0006087F"/>
    <w:rsid w:val="00064B08"/>
    <w:rsid w:val="00082439"/>
    <w:rsid w:val="00084F36"/>
    <w:rsid w:val="000A6762"/>
    <w:rsid w:val="000B23F7"/>
    <w:rsid w:val="000C3BC3"/>
    <w:rsid w:val="000D19F0"/>
    <w:rsid w:val="000E0507"/>
    <w:rsid w:val="000E4C28"/>
    <w:rsid w:val="000F1005"/>
    <w:rsid w:val="000F3C54"/>
    <w:rsid w:val="0011107C"/>
    <w:rsid w:val="00111586"/>
    <w:rsid w:val="00115929"/>
    <w:rsid w:val="001540F5"/>
    <w:rsid w:val="00156389"/>
    <w:rsid w:val="00164115"/>
    <w:rsid w:val="00183DCB"/>
    <w:rsid w:val="001901B2"/>
    <w:rsid w:val="001A1666"/>
    <w:rsid w:val="001A634A"/>
    <w:rsid w:val="001A6D04"/>
    <w:rsid w:val="001C4D2D"/>
    <w:rsid w:val="001C7523"/>
    <w:rsid w:val="001D0E4F"/>
    <w:rsid w:val="001D1894"/>
    <w:rsid w:val="001D7539"/>
    <w:rsid w:val="002137BC"/>
    <w:rsid w:val="00217541"/>
    <w:rsid w:val="0027270D"/>
    <w:rsid w:val="002747F7"/>
    <w:rsid w:val="0029624D"/>
    <w:rsid w:val="002A3142"/>
    <w:rsid w:val="002A4D95"/>
    <w:rsid w:val="002C74F3"/>
    <w:rsid w:val="002E3B47"/>
    <w:rsid w:val="002E425F"/>
    <w:rsid w:val="002E6851"/>
    <w:rsid w:val="00304113"/>
    <w:rsid w:val="00316C3D"/>
    <w:rsid w:val="00321423"/>
    <w:rsid w:val="00321D12"/>
    <w:rsid w:val="0033388B"/>
    <w:rsid w:val="00341720"/>
    <w:rsid w:val="00366102"/>
    <w:rsid w:val="003729BC"/>
    <w:rsid w:val="00381F6F"/>
    <w:rsid w:val="003828B1"/>
    <w:rsid w:val="003A3AD2"/>
    <w:rsid w:val="003A4E56"/>
    <w:rsid w:val="003B2986"/>
    <w:rsid w:val="003C0657"/>
    <w:rsid w:val="003E7CB0"/>
    <w:rsid w:val="003F41F5"/>
    <w:rsid w:val="003F5864"/>
    <w:rsid w:val="004048B0"/>
    <w:rsid w:val="00415201"/>
    <w:rsid w:val="00415F5F"/>
    <w:rsid w:val="00436F76"/>
    <w:rsid w:val="00442DB7"/>
    <w:rsid w:val="00453881"/>
    <w:rsid w:val="00457D94"/>
    <w:rsid w:val="004822D2"/>
    <w:rsid w:val="00496B12"/>
    <w:rsid w:val="004B73D2"/>
    <w:rsid w:val="004D0632"/>
    <w:rsid w:val="004D1444"/>
    <w:rsid w:val="004E285F"/>
    <w:rsid w:val="004E6D20"/>
    <w:rsid w:val="004F30CD"/>
    <w:rsid w:val="005115B2"/>
    <w:rsid w:val="00515A2B"/>
    <w:rsid w:val="00555887"/>
    <w:rsid w:val="00555D25"/>
    <w:rsid w:val="00557D53"/>
    <w:rsid w:val="005624F7"/>
    <w:rsid w:val="00563243"/>
    <w:rsid w:val="00566626"/>
    <w:rsid w:val="00570039"/>
    <w:rsid w:val="00577D44"/>
    <w:rsid w:val="00581568"/>
    <w:rsid w:val="00593CF9"/>
    <w:rsid w:val="005A614E"/>
    <w:rsid w:val="005C2FA8"/>
    <w:rsid w:val="00600567"/>
    <w:rsid w:val="00602D23"/>
    <w:rsid w:val="00604F86"/>
    <w:rsid w:val="00611912"/>
    <w:rsid w:val="006204B9"/>
    <w:rsid w:val="0062106F"/>
    <w:rsid w:val="00624639"/>
    <w:rsid w:val="00630FB3"/>
    <w:rsid w:val="006315C9"/>
    <w:rsid w:val="00641A71"/>
    <w:rsid w:val="006471D3"/>
    <w:rsid w:val="006527FF"/>
    <w:rsid w:val="00661126"/>
    <w:rsid w:val="006700DE"/>
    <w:rsid w:val="00680B52"/>
    <w:rsid w:val="006A7938"/>
    <w:rsid w:val="006B5CC6"/>
    <w:rsid w:val="006E0E33"/>
    <w:rsid w:val="006E1D58"/>
    <w:rsid w:val="007062AD"/>
    <w:rsid w:val="00732A7D"/>
    <w:rsid w:val="00751653"/>
    <w:rsid w:val="00764E01"/>
    <w:rsid w:val="007836EA"/>
    <w:rsid w:val="0079557D"/>
    <w:rsid w:val="007B0B38"/>
    <w:rsid w:val="007B3DED"/>
    <w:rsid w:val="007B4399"/>
    <w:rsid w:val="007B5662"/>
    <w:rsid w:val="007D1C4E"/>
    <w:rsid w:val="007E05AF"/>
    <w:rsid w:val="007F1101"/>
    <w:rsid w:val="00813522"/>
    <w:rsid w:val="008504D7"/>
    <w:rsid w:val="00873156"/>
    <w:rsid w:val="0089496C"/>
    <w:rsid w:val="008A408C"/>
    <w:rsid w:val="008B1429"/>
    <w:rsid w:val="008C2F3A"/>
    <w:rsid w:val="008C317F"/>
    <w:rsid w:val="008C3698"/>
    <w:rsid w:val="008D26AE"/>
    <w:rsid w:val="008F065B"/>
    <w:rsid w:val="00927FB3"/>
    <w:rsid w:val="009323B4"/>
    <w:rsid w:val="0093691C"/>
    <w:rsid w:val="009443DE"/>
    <w:rsid w:val="00961C1F"/>
    <w:rsid w:val="00974265"/>
    <w:rsid w:val="009818C8"/>
    <w:rsid w:val="00981A37"/>
    <w:rsid w:val="009836CF"/>
    <w:rsid w:val="009923A5"/>
    <w:rsid w:val="00996F52"/>
    <w:rsid w:val="009A5BBE"/>
    <w:rsid w:val="009A614F"/>
    <w:rsid w:val="009B04C7"/>
    <w:rsid w:val="009B3DBB"/>
    <w:rsid w:val="009D13E7"/>
    <w:rsid w:val="009E0CB9"/>
    <w:rsid w:val="009F2034"/>
    <w:rsid w:val="009F2673"/>
    <w:rsid w:val="00A111B7"/>
    <w:rsid w:val="00A15537"/>
    <w:rsid w:val="00A1555B"/>
    <w:rsid w:val="00A262EE"/>
    <w:rsid w:val="00A35619"/>
    <w:rsid w:val="00A532A6"/>
    <w:rsid w:val="00A53430"/>
    <w:rsid w:val="00A84B2C"/>
    <w:rsid w:val="00A8580C"/>
    <w:rsid w:val="00A92541"/>
    <w:rsid w:val="00AA407B"/>
    <w:rsid w:val="00AA45CD"/>
    <w:rsid w:val="00AE2241"/>
    <w:rsid w:val="00B00F17"/>
    <w:rsid w:val="00B01523"/>
    <w:rsid w:val="00B23F3F"/>
    <w:rsid w:val="00B261E0"/>
    <w:rsid w:val="00B527C8"/>
    <w:rsid w:val="00B87C49"/>
    <w:rsid w:val="00BA16A2"/>
    <w:rsid w:val="00BA1C83"/>
    <w:rsid w:val="00BB0DAB"/>
    <w:rsid w:val="00BB3C6E"/>
    <w:rsid w:val="00BC256E"/>
    <w:rsid w:val="00BF004E"/>
    <w:rsid w:val="00BF26DE"/>
    <w:rsid w:val="00C031DF"/>
    <w:rsid w:val="00C17012"/>
    <w:rsid w:val="00C404BB"/>
    <w:rsid w:val="00C4712E"/>
    <w:rsid w:val="00C61166"/>
    <w:rsid w:val="00C63DAA"/>
    <w:rsid w:val="00C77E7D"/>
    <w:rsid w:val="00CA7FB1"/>
    <w:rsid w:val="00CB65B7"/>
    <w:rsid w:val="00CC1AB4"/>
    <w:rsid w:val="00CD0116"/>
    <w:rsid w:val="00CD419A"/>
    <w:rsid w:val="00CD486E"/>
    <w:rsid w:val="00CF270F"/>
    <w:rsid w:val="00D002B2"/>
    <w:rsid w:val="00D0568B"/>
    <w:rsid w:val="00D07E4E"/>
    <w:rsid w:val="00D162BD"/>
    <w:rsid w:val="00D23B48"/>
    <w:rsid w:val="00D34C15"/>
    <w:rsid w:val="00D366DA"/>
    <w:rsid w:val="00D37833"/>
    <w:rsid w:val="00D51442"/>
    <w:rsid w:val="00D5596C"/>
    <w:rsid w:val="00D9253A"/>
    <w:rsid w:val="00D92A6F"/>
    <w:rsid w:val="00D939C8"/>
    <w:rsid w:val="00D96559"/>
    <w:rsid w:val="00DA1149"/>
    <w:rsid w:val="00DD378B"/>
    <w:rsid w:val="00E06461"/>
    <w:rsid w:val="00E13840"/>
    <w:rsid w:val="00E14783"/>
    <w:rsid w:val="00E151DB"/>
    <w:rsid w:val="00E22251"/>
    <w:rsid w:val="00E37F6F"/>
    <w:rsid w:val="00E5280E"/>
    <w:rsid w:val="00E62F84"/>
    <w:rsid w:val="00E6489B"/>
    <w:rsid w:val="00E838B4"/>
    <w:rsid w:val="00E963FB"/>
    <w:rsid w:val="00EA7B33"/>
    <w:rsid w:val="00EC4158"/>
    <w:rsid w:val="00ED2C1E"/>
    <w:rsid w:val="00EE498E"/>
    <w:rsid w:val="00EE787D"/>
    <w:rsid w:val="00EF028D"/>
    <w:rsid w:val="00F078E5"/>
    <w:rsid w:val="00F10168"/>
    <w:rsid w:val="00F30F4E"/>
    <w:rsid w:val="00F544A9"/>
    <w:rsid w:val="00F72DD4"/>
    <w:rsid w:val="00F76EC7"/>
    <w:rsid w:val="00F80EF2"/>
    <w:rsid w:val="00FA2D93"/>
    <w:rsid w:val="00FA4185"/>
    <w:rsid w:val="00FA60BD"/>
    <w:rsid w:val="00FB399C"/>
    <w:rsid w:val="00FC2B39"/>
    <w:rsid w:val="00FC2C88"/>
    <w:rsid w:val="00FD0F73"/>
    <w:rsid w:val="00FD15DE"/>
    <w:rsid w:val="00FD1865"/>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92d050" strokecolor="#00b050" shadowcolor="#92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865"/>
    <w:rPr>
      <w:color w:val="0000FF" w:themeColor="hyperlink"/>
      <w:u w:val="single"/>
    </w:rPr>
  </w:style>
  <w:style w:type="paragraph" w:styleId="Header">
    <w:name w:val="header"/>
    <w:basedOn w:val="Normal"/>
    <w:link w:val="HeaderChar"/>
    <w:uiPriority w:val="99"/>
    <w:unhideWhenUsed/>
    <w:rsid w:val="0018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CB"/>
  </w:style>
  <w:style w:type="paragraph" w:styleId="Footer">
    <w:name w:val="footer"/>
    <w:basedOn w:val="Normal"/>
    <w:link w:val="FooterChar"/>
    <w:uiPriority w:val="99"/>
    <w:unhideWhenUsed/>
    <w:rsid w:val="0018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CB"/>
  </w:style>
  <w:style w:type="paragraph" w:styleId="BalloonText">
    <w:name w:val="Balloon Text"/>
    <w:basedOn w:val="Normal"/>
    <w:link w:val="BalloonTextChar"/>
    <w:uiPriority w:val="99"/>
    <w:semiHidden/>
    <w:unhideWhenUsed/>
    <w:rsid w:val="0018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865"/>
    <w:rPr>
      <w:color w:val="0000FF" w:themeColor="hyperlink"/>
      <w:u w:val="single"/>
    </w:rPr>
  </w:style>
  <w:style w:type="paragraph" w:styleId="Header">
    <w:name w:val="header"/>
    <w:basedOn w:val="Normal"/>
    <w:link w:val="HeaderChar"/>
    <w:uiPriority w:val="99"/>
    <w:unhideWhenUsed/>
    <w:rsid w:val="0018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CB"/>
  </w:style>
  <w:style w:type="paragraph" w:styleId="Footer">
    <w:name w:val="footer"/>
    <w:basedOn w:val="Normal"/>
    <w:link w:val="FooterChar"/>
    <w:uiPriority w:val="99"/>
    <w:unhideWhenUsed/>
    <w:rsid w:val="0018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CB"/>
  </w:style>
  <w:style w:type="paragraph" w:styleId="BalloonText">
    <w:name w:val="Balloon Text"/>
    <w:basedOn w:val="Normal"/>
    <w:link w:val="BalloonTextChar"/>
    <w:uiPriority w:val="99"/>
    <w:semiHidden/>
    <w:unhideWhenUsed/>
    <w:rsid w:val="0018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network.org/" TargetMode="External"/><Relationship Id="rId13" Type="http://schemas.openxmlformats.org/officeDocument/2006/relationships/hyperlink" Target="http://www.bestevidence.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rti4success.org/" TargetMode="External"/><Relationship Id="rId12" Type="http://schemas.openxmlformats.org/officeDocument/2006/relationships/hyperlink" Target="http://ies.ed.gov/ncee/wwc/" TargetMode="External"/><Relationship Id="rId17" Type="http://schemas.openxmlformats.org/officeDocument/2006/relationships/hyperlink" Target="http://www.interventioncentral.org/" TargetMode="External"/><Relationship Id="rId2" Type="http://schemas.microsoft.com/office/2007/relationships/stylesWithEffects" Target="stylesWithEffects.xml"/><Relationship Id="rId16" Type="http://schemas.openxmlformats.org/officeDocument/2006/relationships/hyperlink" Target="http://ebi.missouri.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ntensiveintervention.org/chart/progress-monitoring" TargetMode="External"/><Relationship Id="rId5" Type="http://schemas.openxmlformats.org/officeDocument/2006/relationships/footnotes" Target="footnotes.xml"/><Relationship Id="rId15" Type="http://schemas.openxmlformats.org/officeDocument/2006/relationships/hyperlink" Target="http://www.intensiveintervention.org/" TargetMode="External"/><Relationship Id="rId10" Type="http://schemas.openxmlformats.org/officeDocument/2006/relationships/hyperlink" Target="http://www.intensiveintervention.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i4success.org/" TargetMode="External"/><Relationship Id="rId14" Type="http://schemas.openxmlformats.org/officeDocument/2006/relationships/hyperlink" Target="http://www.rti4success.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5F6B017F6843F7821C46F842E1FB33"/>
        <w:category>
          <w:name w:val="General"/>
          <w:gallery w:val="placeholder"/>
        </w:category>
        <w:types>
          <w:type w:val="bbPlcHdr"/>
        </w:types>
        <w:behaviors>
          <w:behavior w:val="content"/>
        </w:behaviors>
        <w:guid w:val="{CCB41B37-ED1C-4888-9370-1630D1F2F4A3}"/>
      </w:docPartPr>
      <w:docPartBody>
        <w:p w:rsidR="00A25718" w:rsidRDefault="00A25718" w:rsidP="00A25718">
          <w:pPr>
            <w:pStyle w:val="BA5F6B017F6843F7821C46F842E1FB33"/>
          </w:pPr>
          <w:r>
            <w:rPr>
              <w:b/>
              <w:bCs/>
              <w:color w:val="1F497D" w:themeColor="text2"/>
              <w:sz w:val="28"/>
              <w:szCs w:val="28"/>
            </w:rPr>
            <w:t>[Type the document title]</w:t>
          </w:r>
        </w:p>
      </w:docPartBody>
    </w:docPart>
    <w:docPart>
      <w:docPartPr>
        <w:name w:val="86F98EC44D2A408EB80F66BCBF8B2172"/>
        <w:category>
          <w:name w:val="General"/>
          <w:gallery w:val="placeholder"/>
        </w:category>
        <w:types>
          <w:type w:val="bbPlcHdr"/>
        </w:types>
        <w:behaviors>
          <w:behavior w:val="content"/>
        </w:behaviors>
        <w:guid w:val="{5D210540-6678-4959-9264-D6DB2C9BC8A0}"/>
      </w:docPartPr>
      <w:docPartBody>
        <w:p w:rsidR="00A25718" w:rsidRDefault="00A25718" w:rsidP="00A25718">
          <w:pPr>
            <w:pStyle w:val="86F98EC44D2A408EB80F66BCBF8B2172"/>
          </w:pPr>
          <w:r>
            <w:rPr>
              <w:color w:val="4F81BD" w:themeColor="accent1"/>
            </w:rPr>
            <w:t>[Type the document subtitle]</w:t>
          </w:r>
        </w:p>
      </w:docPartBody>
    </w:docPart>
    <w:docPart>
      <w:docPartPr>
        <w:name w:val="3A5449520BB8484DA032ADEDDA78BBB5"/>
        <w:category>
          <w:name w:val="General"/>
          <w:gallery w:val="placeholder"/>
        </w:category>
        <w:types>
          <w:type w:val="bbPlcHdr"/>
        </w:types>
        <w:behaviors>
          <w:behavior w:val="content"/>
        </w:behaviors>
        <w:guid w:val="{34003991-31D3-45EF-B516-A6B3D90D087C}"/>
      </w:docPartPr>
      <w:docPartBody>
        <w:p w:rsidR="00A25718" w:rsidRDefault="00A25718" w:rsidP="00A25718">
          <w:pPr>
            <w:pStyle w:val="3A5449520BB8484DA032ADEDDA78BBB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25718"/>
    <w:rsid w:val="0017365B"/>
    <w:rsid w:val="00421A92"/>
    <w:rsid w:val="00635DD5"/>
    <w:rsid w:val="006E1569"/>
    <w:rsid w:val="007160B3"/>
    <w:rsid w:val="008F2BD3"/>
    <w:rsid w:val="009D18A1"/>
    <w:rsid w:val="00A25718"/>
    <w:rsid w:val="00A6332E"/>
    <w:rsid w:val="00B80FC9"/>
    <w:rsid w:val="00D2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6B017F6843F7821C46F842E1FB33">
    <w:name w:val="BA5F6B017F6843F7821C46F842E1FB33"/>
    <w:rsid w:val="00A25718"/>
  </w:style>
  <w:style w:type="paragraph" w:customStyle="1" w:styleId="86F98EC44D2A408EB80F66BCBF8B2172">
    <w:name w:val="86F98EC44D2A408EB80F66BCBF8B2172"/>
    <w:rsid w:val="00A25718"/>
  </w:style>
  <w:style w:type="paragraph" w:customStyle="1" w:styleId="3A5449520BB8484DA032ADEDDA78BBB5">
    <w:name w:val="3A5449520BB8484DA032ADEDDA78BBB5"/>
    <w:rsid w:val="00A257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Response to Intervention (RTI): Overview for Parents</vt:lpstr>
    </vt:vector>
  </TitlesOfParts>
  <Company>Hewlett-Packard Company</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Intervention (RTI): Overview for Parents</dc:title>
  <dc:subject>Distinctions between GEIs and RTI</dc:subject>
  <dc:creator>Laura Darrow - November 25, 2012</dc:creator>
  <cp:lastModifiedBy>Mark S. Kamleiter</cp:lastModifiedBy>
  <cp:revision>2</cp:revision>
  <dcterms:created xsi:type="dcterms:W3CDTF">2012-11-28T21:59:00Z</dcterms:created>
  <dcterms:modified xsi:type="dcterms:W3CDTF">2012-11-28T21:59:00Z</dcterms:modified>
</cp:coreProperties>
</file>